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B2" w:rsidRDefault="00BB41B2" w:rsidP="00BB41B2">
      <w:pPr>
        <w:jc w:val="center"/>
        <w:rPr>
          <w:noProof/>
        </w:rPr>
      </w:pPr>
      <w:bookmarkStart w:id="0" w:name="OLE_LINK1"/>
      <w:r>
        <w:rPr>
          <w:noProof/>
          <w:lang w:eastAsia="fr-FR"/>
        </w:rPr>
        <w:drawing>
          <wp:inline distT="0" distB="0" distL="0" distR="0">
            <wp:extent cx="1229360" cy="1107440"/>
            <wp:effectExtent l="19050" t="0" r="889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B2" w:rsidRPr="001B02C4" w:rsidRDefault="00BB41B2" w:rsidP="00BB41B2">
      <w:pPr>
        <w:jc w:val="center"/>
        <w:rPr>
          <w:color w:val="0000FF"/>
        </w:rPr>
      </w:pPr>
    </w:p>
    <w:p w:rsidR="00BB41B2" w:rsidRPr="000C46CA" w:rsidRDefault="00BB41B2" w:rsidP="00BB41B2">
      <w:pPr>
        <w:jc w:val="center"/>
        <w:rPr>
          <w:rFonts w:ascii="Arial Narrow" w:hAnsi="Arial Narrow" w:cs="Arial Narrow"/>
          <w:b/>
          <w:bCs/>
          <w:shadow/>
          <w:noProof/>
          <w:sz w:val="40"/>
          <w:szCs w:val="40"/>
        </w:rPr>
      </w:pPr>
      <w:r w:rsidRPr="000C46CA">
        <w:rPr>
          <w:rFonts w:ascii="Arial Narrow" w:hAnsi="Arial Narrow" w:cs="Arial Narrow"/>
          <w:b/>
          <w:bCs/>
          <w:shadow/>
          <w:noProof/>
          <w:sz w:val="40"/>
          <w:szCs w:val="40"/>
        </w:rPr>
        <w:t>BANQUE DE LA REPUBLIQUE DU BURUNDI</w:t>
      </w:r>
    </w:p>
    <w:p w:rsidR="00BB41B2" w:rsidRDefault="00BB41B2" w:rsidP="00BB41B2">
      <w:pPr>
        <w:jc w:val="center"/>
        <w:rPr>
          <w:rFonts w:ascii="Arial Narrow" w:hAnsi="Arial Narrow" w:cs="Arial Narrow"/>
          <w:b/>
          <w:bCs/>
          <w:shadow/>
          <w:noProof/>
          <w:sz w:val="40"/>
          <w:szCs w:val="40"/>
        </w:rPr>
      </w:pPr>
      <w:r w:rsidRPr="000C46CA">
        <w:rPr>
          <w:rFonts w:ascii="Arial Narrow" w:hAnsi="Arial Narrow" w:cs="Arial Narrow"/>
          <w:b/>
          <w:bCs/>
          <w:shadow/>
          <w:noProof/>
          <w:sz w:val="40"/>
          <w:szCs w:val="40"/>
        </w:rPr>
        <w:t>SERVICE ETUDES</w:t>
      </w:r>
      <w:r>
        <w:rPr>
          <w:rFonts w:ascii="Arial Narrow" w:hAnsi="Arial Narrow" w:cs="Arial Narrow"/>
          <w:b/>
          <w:bCs/>
          <w:shadow/>
          <w:noProof/>
          <w:sz w:val="40"/>
          <w:szCs w:val="40"/>
        </w:rPr>
        <w:t xml:space="preserve"> ET STATISTIQUES</w:t>
      </w:r>
    </w:p>
    <w:p w:rsidR="00BB41B2" w:rsidRDefault="00BB41B2" w:rsidP="00BB41B2">
      <w:pPr>
        <w:jc w:val="center"/>
        <w:rPr>
          <w:rFonts w:ascii="Arial Narrow" w:hAnsi="Arial Narrow" w:cs="Arial Narrow"/>
          <w:b/>
          <w:bCs/>
          <w:shadow/>
          <w:noProof/>
          <w:sz w:val="40"/>
          <w:szCs w:val="40"/>
        </w:rPr>
      </w:pPr>
    </w:p>
    <w:p w:rsidR="00BB41B2" w:rsidRPr="001B02C4" w:rsidRDefault="00835501" w:rsidP="00BB41B2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</w:r>
      <w:r>
        <w:rPr>
          <w:color w:val="0000FF"/>
          <w:sz w:val="36"/>
          <w:szCs w:val="36"/>
        </w:rPr>
        <w:pict>
          <v:group id="_x0000_s1029" editas="canvas" style="width:306pt;height:126pt;mso-position-horizontal-relative:char;mso-position-vertical-relative:line" coordorigin="4061,6971" coordsize="4896,2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061;top:6971;width:4896;height:2016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31" type="#_x0000_t80" style="position:absolute;left:4349;top:7115;width:4320;height:1728" fillcolor="silver">
              <v:textbox>
                <w:txbxContent>
                  <w:p w:rsidR="00BB41B2" w:rsidRPr="00985730" w:rsidRDefault="00BB41B2" w:rsidP="00BB41B2">
                    <w:pPr>
                      <w:shd w:val="clear" w:color="auto" w:fill="C0C0C0"/>
                      <w:jc w:val="center"/>
                      <w:rPr>
                        <w:rFonts w:ascii="Arial Narrow" w:hAnsi="Arial Narrow" w:cs="Arial Narrow"/>
                        <w:b/>
                        <w:bCs/>
                        <w:color w:val="0000FF"/>
                        <w:sz w:val="52"/>
                        <w:szCs w:val="52"/>
                        <w:lang w:val="fr-BE"/>
                      </w:rPr>
                    </w:pPr>
                    <w:r w:rsidRPr="00985730">
                      <w:rPr>
                        <w:rFonts w:ascii="Arial Narrow" w:hAnsi="Arial Narrow" w:cs="Arial Narrow"/>
                        <w:b/>
                        <w:bCs/>
                        <w:color w:val="0000FF"/>
                        <w:sz w:val="52"/>
                        <w:szCs w:val="52"/>
                        <w:lang w:val="fr-BE"/>
                      </w:rPr>
                      <w:t>INDICATEURS DE CONJONCTURE</w:t>
                    </w:r>
                  </w:p>
                  <w:p w:rsidR="00BB41B2" w:rsidRDefault="00BB41B2" w:rsidP="00BB41B2">
                    <w:pPr>
                      <w:jc w:val="center"/>
                    </w:pPr>
                  </w:p>
                </w:txbxContent>
              </v:textbox>
            </v:shape>
            <w10:wrap type="none"/>
            <w10:anchorlock/>
          </v:group>
        </w:pict>
      </w:r>
    </w:p>
    <w:bookmarkEnd w:id="0"/>
    <w:p w:rsidR="00BB41B2" w:rsidRDefault="00BB41B2" w:rsidP="00BB41B2">
      <w:pPr>
        <w:pStyle w:val="Titre2"/>
        <w:rPr>
          <w:color w:val="0000FF"/>
          <w:sz w:val="24"/>
          <w:szCs w:val="24"/>
        </w:rPr>
      </w:pPr>
      <w:r w:rsidRPr="001B02C4">
        <w:t xml:space="preserve">     </w:t>
      </w:r>
    </w:p>
    <w:p w:rsidR="00BB41B2" w:rsidRPr="001B02C4" w:rsidRDefault="00835501" w:rsidP="00BB41B2">
      <w:pPr>
        <w:rPr>
          <w:color w:val="0000FF"/>
          <w:sz w:val="24"/>
          <w:szCs w:val="24"/>
        </w:rPr>
      </w:pPr>
      <w:r w:rsidRPr="00835501">
        <w:rPr>
          <w:noProof/>
          <w:sz w:val="20"/>
          <w:szCs w:val="20"/>
        </w:rPr>
        <w:pict>
          <v:shape id="computr3" o:spid="_x0000_s1033" style="position:absolute;margin-left:44.1pt;margin-top:-18.5pt;width:5in;height:260.25pt;z-index:251661312" coordsize="21600,21600" o:spt="100" adj="-11796480,,5400" path="m18250,17743r-693,-772l5429,16971r-693,772l18250,17743xem18250,17743t1155,1388l18712,18360r-14438,l3581,19131r15824,xem19405,19131t1155,1389l19867,19749r-16748,l2426,20520r18134,xem20560,20520,4620,16971r693,-771l7624,16200r,-2006l5891,14194,5891,r6122,l18135,r,10800l18135,14194r-1733,l16402,16200r1386,l19059,17743r1963,2160l21253,20057r116,309l21600,20674r,155l21600,20983r,154l21600,21291r,l21484,21446r-115,l21138,21600r-116,l10973,21600r-8894,l1848,21600r-115,-154l1617,21446r-115,-155l1386,21291r,-154l1386,20983r,-154l1502,20674r115,-308l1733,20057r231,-154l,19903,,10800,,2777r4620,l4620,16971t,m4620,16971r-462,463l2541,19286r-577,617l4620,16971xem7624,2314t8778,l16402,11880r-8778,l7624,2314xem578,4011t3465,l4043,4320r-3465,l578,4011xm7624,14194r8778,l16402,16200r-8778,e" fillcolor="#cff">
            <v:stroke joinstyle="miter"/>
            <v:formulas/>
            <v:path o:extrusionok="f" o:connecttype="custom" o:connectlocs="0,10800;10800,0;10800,21600;18135,10800" textboxrect="7811,2584,16359,11764"/>
            <o:lock v:ext="edit" verticies="t"/>
            <v:textbox style="mso-next-textbox:#computr3">
              <w:txbxContent>
                <w:p w:rsidR="00BB41B2" w:rsidRDefault="00BB41B2" w:rsidP="00BB41B2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</w:pPr>
                </w:p>
                <w:p w:rsidR="00BB41B2" w:rsidRPr="00985730" w:rsidRDefault="00BB41B2" w:rsidP="00BB41B2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</w:pPr>
                  <w:r w:rsidRPr="00985730"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>Production, Finances Publiques, Monnaie et crédit, Commerce Extérieur,</w:t>
                  </w:r>
                  <w:r w:rsidRPr="005176E2"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 xml:space="preserve">Indice des </w:t>
                  </w:r>
                  <w:r w:rsidRPr="00985730">
                    <w:rPr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fr-BE"/>
                    </w:rPr>
                    <w:t>Prix, Taux de change</w:t>
                  </w:r>
                </w:p>
              </w:txbxContent>
            </v:textbox>
            <w10:wrap side="left"/>
            <w10:anchorlock/>
          </v:shape>
        </w:pict>
      </w:r>
    </w:p>
    <w:p w:rsidR="00BB41B2" w:rsidRPr="001B02C4" w:rsidRDefault="00BB41B2" w:rsidP="00BB41B2">
      <w:pPr>
        <w:rPr>
          <w:color w:val="0000FF"/>
          <w:sz w:val="24"/>
          <w:szCs w:val="24"/>
        </w:rPr>
      </w:pPr>
    </w:p>
    <w:p w:rsidR="00BB41B2" w:rsidRPr="001B02C4" w:rsidRDefault="00BB41B2" w:rsidP="00BB41B2">
      <w:pPr>
        <w:rPr>
          <w:color w:val="0000FF"/>
          <w:sz w:val="24"/>
          <w:szCs w:val="24"/>
        </w:rPr>
      </w:pPr>
    </w:p>
    <w:p w:rsidR="00BB41B2" w:rsidRDefault="00BB41B2" w:rsidP="00BB41B2">
      <w:pPr>
        <w:rPr>
          <w:color w:val="0000FF"/>
          <w:sz w:val="24"/>
          <w:szCs w:val="24"/>
        </w:rPr>
      </w:pPr>
    </w:p>
    <w:p w:rsidR="00BB41B2" w:rsidRDefault="00BB41B2" w:rsidP="00BB41B2">
      <w:pPr>
        <w:rPr>
          <w:color w:val="0000FF"/>
          <w:sz w:val="24"/>
          <w:szCs w:val="24"/>
        </w:rPr>
      </w:pPr>
    </w:p>
    <w:p w:rsidR="00BB41B2" w:rsidRDefault="00BB41B2" w:rsidP="00BB41B2">
      <w:pPr>
        <w:rPr>
          <w:color w:val="0000FF"/>
          <w:sz w:val="24"/>
          <w:szCs w:val="24"/>
        </w:rPr>
      </w:pPr>
    </w:p>
    <w:p w:rsidR="00BB41B2" w:rsidRPr="001B02C4" w:rsidRDefault="00BB41B2" w:rsidP="00BB41B2">
      <w:pPr>
        <w:rPr>
          <w:color w:val="0000FF"/>
          <w:sz w:val="24"/>
          <w:szCs w:val="24"/>
        </w:rPr>
      </w:pPr>
    </w:p>
    <w:p w:rsidR="00BB41B2" w:rsidRDefault="00BB41B2" w:rsidP="00BB41B2">
      <w:pPr>
        <w:rPr>
          <w:color w:val="0000FF"/>
          <w:sz w:val="24"/>
          <w:szCs w:val="24"/>
        </w:rPr>
      </w:pPr>
    </w:p>
    <w:p w:rsidR="00BB41B2" w:rsidRDefault="00BB41B2" w:rsidP="00BB41B2">
      <w:pPr>
        <w:rPr>
          <w:color w:val="0000FF"/>
          <w:sz w:val="24"/>
          <w:szCs w:val="24"/>
        </w:rPr>
      </w:pPr>
    </w:p>
    <w:p w:rsidR="00BB41B2" w:rsidRDefault="00835501" w:rsidP="00BB41B2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 w:rsidRPr="00835501">
        <w:rPr>
          <w:noProof/>
          <w:color w:val="0000FF"/>
          <w:sz w:val="36"/>
          <w:szCs w:val="36"/>
          <w:lang w:eastAsia="fr-FR"/>
        </w:rPr>
        <w:pict>
          <v:shape id="desk1" o:spid="_x0000_s1034" style="position:absolute;left:0;text-align:left;margin-left:134.65pt;margin-top:29.4pt;width:217.75pt;height:51.75pt;z-index:251663360" coordsize="21600,21600" o:spt="100" adj="-11796480,,5400" path="m,l21600,r,21600l,21600,,xe" fillcolor="silver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  <v:textbox style="mso-next-textbox:#desk1">
              <w:txbxContent>
                <w:p w:rsidR="00BB41B2" w:rsidRDefault="00BB41B2" w:rsidP="00BB41B2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>MAI 2014</w:t>
                  </w:r>
                </w:p>
                <w:p w:rsidR="00BB41B2" w:rsidRDefault="00BB41B2" w:rsidP="00BB41B2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</w:p>
                <w:p w:rsidR="00BB41B2" w:rsidRDefault="00BB41B2" w:rsidP="00BB41B2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 xml:space="preserve"> 2011</w:t>
                  </w:r>
                </w:p>
                <w:p w:rsidR="00BB41B2" w:rsidRDefault="00BB41B2" w:rsidP="00BB41B2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>2011</w:t>
                  </w:r>
                </w:p>
                <w:p w:rsidR="00BB41B2" w:rsidRDefault="00BB41B2" w:rsidP="00BB41B2">
                  <w:pPr>
                    <w:jc w:val="center"/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 xml:space="preserve"> 2011</w:t>
                  </w:r>
                </w:p>
                <w:p w:rsidR="00BB41B2" w:rsidRDefault="00BB41B2" w:rsidP="00BB41B2">
                  <w:pPr>
                    <w:rPr>
                      <w:sz w:val="44"/>
                      <w:szCs w:val="44"/>
                      <w:lang w:val="fr-BE"/>
                    </w:rPr>
                  </w:pPr>
                </w:p>
                <w:p w:rsidR="00BB41B2" w:rsidRDefault="00BB41B2" w:rsidP="00BB41B2">
                  <w:pPr>
                    <w:rPr>
                      <w:sz w:val="44"/>
                      <w:szCs w:val="44"/>
                      <w:lang w:val="fr-BE"/>
                    </w:rPr>
                  </w:pPr>
                  <w:r>
                    <w:rPr>
                      <w:sz w:val="44"/>
                      <w:szCs w:val="44"/>
                      <w:lang w:val="fr-BE"/>
                    </w:rPr>
                    <w:t>2010</w:t>
                  </w:r>
                </w:p>
                <w:p w:rsidR="00BB41B2" w:rsidRPr="007B139A" w:rsidRDefault="00BB41B2" w:rsidP="00BB41B2">
                  <w:pPr>
                    <w:rPr>
                      <w:sz w:val="44"/>
                      <w:szCs w:val="44"/>
                      <w:lang w:val="fr-BE"/>
                    </w:rPr>
                  </w:pPr>
                </w:p>
              </w:txbxContent>
            </v:textbox>
          </v:shape>
        </w:pict>
      </w:r>
    </w:p>
    <w:p w:rsidR="00BB41B2" w:rsidRPr="00A2052C" w:rsidRDefault="00BB41B2" w:rsidP="00BB41B2">
      <w:pPr>
        <w:jc w:val="center"/>
        <w:rPr>
          <w:rFonts w:ascii="Arial Narrow" w:hAnsi="Arial Narrow" w:cs="Arial Narrow"/>
          <w:b/>
          <w:bCs/>
          <w:sz w:val="40"/>
          <w:szCs w:val="40"/>
        </w:rPr>
        <w:sectPr w:rsidR="00BB41B2" w:rsidRPr="00A2052C" w:rsidSect="00985730">
          <w:footerReference w:type="default" r:id="rId9"/>
          <w:footerReference w:type="first" r:id="rId10"/>
          <w:pgSz w:w="11906" w:h="16838"/>
          <w:pgMar w:top="1134" w:right="1418" w:bottom="1701" w:left="851" w:header="720" w:footer="0" w:gutter="567"/>
          <w:pgBorders w:display="firstPage" w:offsetFrom="page">
            <w:left w:val="thinThickSmallGap" w:sz="48" w:space="24" w:color="00CCFF"/>
            <w:right w:val="thickThinSmallGap" w:sz="48" w:space="24" w:color="00CCFF"/>
          </w:pgBorders>
          <w:cols w:space="720"/>
          <w:titlePg/>
        </w:sectPr>
      </w:pPr>
    </w:p>
    <w:p w:rsidR="00AA4AF5" w:rsidRPr="00AA4AF5" w:rsidRDefault="00AA1DB5">
      <w:pPr>
        <w:pStyle w:val="En-ttedetabledesmatires"/>
        <w:rPr>
          <w:rFonts w:asciiTheme="minorHAnsi" w:hAnsiTheme="minorHAnsi" w:cs="Arial"/>
          <w:color w:val="00B0F0"/>
          <w:sz w:val="24"/>
        </w:rPr>
      </w:pPr>
      <w:r w:rsidRPr="00AA4AF5">
        <w:rPr>
          <w:rFonts w:asciiTheme="minorHAnsi" w:hAnsiTheme="minorHAnsi" w:cs="Arial"/>
          <w:color w:val="00B0F0"/>
          <w:sz w:val="24"/>
        </w:rPr>
        <w:lastRenderedPageBreak/>
        <w:t>TABLE DE MATIERES</w:t>
      </w:r>
    </w:p>
    <w:sdt>
      <w:sdtPr>
        <w:rPr>
          <w:b/>
          <w:bCs/>
        </w:rPr>
        <w:id w:val="128022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329F0" w:rsidRDefault="004329F0" w:rsidP="00AA4AF5">
          <w:pPr>
            <w:spacing w:after="0"/>
            <w:jc w:val="both"/>
          </w:pPr>
        </w:p>
        <w:p w:rsidR="004329F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r w:rsidRPr="00835501">
            <w:fldChar w:fldCharType="begin"/>
          </w:r>
          <w:r w:rsidR="004329F0">
            <w:instrText xml:space="preserve"> TOC \o "1-3" \h \z \u </w:instrText>
          </w:r>
          <w:r w:rsidRPr="00835501">
            <w:fldChar w:fldCharType="separate"/>
          </w:r>
          <w:hyperlink w:anchor="_Toc393361845" w:history="1">
            <w:r w:rsidR="004329F0" w:rsidRPr="00DA77D5">
              <w:rPr>
                <w:rStyle w:val="Lienhypertexte"/>
                <w:rFonts w:cs="Arial"/>
              </w:rPr>
              <w:t>I. INTRODUCTION</w:t>
            </w:r>
            <w:r w:rsidR="004329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329F0">
              <w:rPr>
                <w:webHidden/>
              </w:rPr>
              <w:instrText xml:space="preserve"> PAGEREF _Toc393361845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329F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46" w:history="1">
            <w:r w:rsidR="004329F0" w:rsidRPr="00DA77D5">
              <w:rPr>
                <w:rStyle w:val="Lienhypertexte"/>
                <w:rFonts w:cs="Calibri"/>
              </w:rPr>
              <w:t>II. PRODUCTION</w:t>
            </w:r>
            <w:r w:rsidR="004329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329F0">
              <w:rPr>
                <w:webHidden/>
              </w:rPr>
              <w:instrText xml:space="preserve"> PAGEREF _Toc393361846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47" w:history="1">
            <w:r w:rsidR="004329F0" w:rsidRPr="00DA77D5">
              <w:rPr>
                <w:rStyle w:val="Lienhypertexte"/>
                <w:rFonts w:cs="Calibri"/>
                <w:noProof/>
              </w:rPr>
              <w:t>Indice de la production industrielle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48" w:history="1">
            <w:r w:rsidR="004329F0" w:rsidRPr="00DA77D5">
              <w:rPr>
                <w:rStyle w:val="Lienhypertexte"/>
                <w:noProof/>
              </w:rPr>
              <w:t>Café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49" w:history="1">
            <w:r w:rsidR="004329F0" w:rsidRPr="00DA77D5">
              <w:rPr>
                <w:rStyle w:val="Lienhypertexte"/>
                <w:noProof/>
              </w:rPr>
              <w:t>Thé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50" w:history="1">
            <w:r w:rsidR="004329F0" w:rsidRPr="00DA77D5">
              <w:rPr>
                <w:rStyle w:val="Lienhypertexte"/>
              </w:rPr>
              <w:t>III. INDICE DES PRIX A LA CONSOMMATION</w:t>
            </w:r>
            <w:r w:rsidR="004329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329F0">
              <w:rPr>
                <w:webHidden/>
              </w:rPr>
              <w:instrText xml:space="preserve"> PAGEREF _Toc393361850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329F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51" w:history="1">
            <w:r w:rsidR="004329F0" w:rsidRPr="00DA77D5">
              <w:rPr>
                <w:rStyle w:val="Lienhypertexte"/>
              </w:rPr>
              <w:t>IV. FINANCES PUBLIQUES</w:t>
            </w:r>
            <w:r w:rsidR="004329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329F0">
              <w:rPr>
                <w:webHidden/>
              </w:rPr>
              <w:instrText xml:space="preserve"> PAGEREF _Toc393361851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52" w:history="1">
            <w:r w:rsidR="004329F0" w:rsidRPr="00DA77D5">
              <w:rPr>
                <w:rStyle w:val="Lienhypertexte"/>
                <w:noProof/>
              </w:rPr>
              <w:t>Recettes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53" w:history="1">
            <w:r w:rsidR="004329F0" w:rsidRPr="00DA77D5">
              <w:rPr>
                <w:rStyle w:val="Lienhypertexte"/>
                <w:noProof/>
              </w:rPr>
              <w:t>Dépenses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54" w:history="1">
            <w:r w:rsidR="004329F0" w:rsidRPr="00DA77D5">
              <w:rPr>
                <w:rStyle w:val="Lienhypertexte"/>
                <w:noProof/>
              </w:rPr>
              <w:t>Dette publique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55" w:history="1">
            <w:r w:rsidR="004329F0" w:rsidRPr="00DA77D5">
              <w:rPr>
                <w:rStyle w:val="Lienhypertexte"/>
                <w:noProof/>
              </w:rPr>
              <w:t>- Dette intérieure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56" w:history="1">
            <w:r w:rsidR="004329F0" w:rsidRPr="00DA77D5">
              <w:rPr>
                <w:rStyle w:val="Lienhypertexte"/>
                <w:noProof/>
              </w:rPr>
              <w:t>- Dette extérieure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57" w:history="1">
            <w:r w:rsidR="004329F0" w:rsidRPr="00DA77D5">
              <w:rPr>
                <w:rStyle w:val="Lienhypertexte"/>
              </w:rPr>
              <w:t>V.  BASE MONETAIRE, MASSE MONETAIRE ET SES CONTREPARTIES</w:t>
            </w:r>
            <w:r w:rsidR="004329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329F0">
              <w:rPr>
                <w:webHidden/>
              </w:rPr>
              <w:instrText xml:space="preserve"> PAGEREF _Toc393361857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58" w:history="1">
            <w:r w:rsidR="004329F0" w:rsidRPr="00DA77D5">
              <w:rPr>
                <w:rStyle w:val="Lienhypertexte"/>
                <w:noProof/>
              </w:rPr>
              <w:t>Base monétaire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59" w:history="1">
            <w:r w:rsidR="004329F0" w:rsidRPr="00DA77D5">
              <w:rPr>
                <w:rStyle w:val="Lienhypertexte"/>
                <w:noProof/>
              </w:rPr>
              <w:t>Masse monétaire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60" w:history="1">
            <w:r w:rsidR="004329F0" w:rsidRPr="00DA77D5">
              <w:rPr>
                <w:rStyle w:val="Lienhypertexte"/>
                <w:noProof/>
              </w:rPr>
              <w:t>Contreparties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Pr="0029030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61" w:history="1">
            <w:r w:rsidR="004329F0" w:rsidRPr="00290300">
              <w:rPr>
                <w:rStyle w:val="Lienhypertexte"/>
              </w:rPr>
              <w:t>VI. COMMERCE EXTERIEUR</w:t>
            </w:r>
            <w:r w:rsidR="004329F0" w:rsidRPr="00290300">
              <w:rPr>
                <w:webHidden/>
              </w:rPr>
              <w:tab/>
            </w:r>
            <w:r w:rsidRPr="00290300">
              <w:rPr>
                <w:webHidden/>
              </w:rPr>
              <w:fldChar w:fldCharType="begin"/>
            </w:r>
            <w:r w:rsidR="004329F0" w:rsidRPr="00290300">
              <w:rPr>
                <w:webHidden/>
              </w:rPr>
              <w:instrText xml:space="preserve"> PAGEREF _Toc393361861 \h </w:instrText>
            </w:r>
            <w:r w:rsidRPr="00290300">
              <w:rPr>
                <w:webHidden/>
              </w:rPr>
            </w:r>
            <w:r w:rsidRPr="00290300"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5</w:t>
            </w:r>
            <w:r w:rsidRPr="00290300">
              <w:rPr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62" w:history="1">
            <w:r w:rsidR="004329F0" w:rsidRPr="00DA77D5">
              <w:rPr>
                <w:rStyle w:val="Lienhypertexte"/>
                <w:noProof/>
              </w:rPr>
              <w:t>Exportations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Default="00835501">
          <w:pPr>
            <w:pStyle w:val="TM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393361863" w:history="1">
            <w:r w:rsidR="004329F0" w:rsidRPr="00DA77D5">
              <w:rPr>
                <w:rStyle w:val="Lienhypertexte"/>
                <w:noProof/>
              </w:rPr>
              <w:t>Importations</w:t>
            </w:r>
            <w:r w:rsidR="004329F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29F0">
              <w:rPr>
                <w:noProof/>
                <w:webHidden/>
              </w:rPr>
              <w:instrText xml:space="preserve"> PAGEREF _Toc393361863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E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9F0" w:rsidRPr="0029030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64" w:history="1">
            <w:r w:rsidR="004329F0" w:rsidRPr="00290300">
              <w:rPr>
                <w:rStyle w:val="Lienhypertexte"/>
              </w:rPr>
              <w:t>VII. TAUX DE CHANGE</w:t>
            </w:r>
            <w:r w:rsidR="004329F0" w:rsidRPr="00290300">
              <w:rPr>
                <w:webHidden/>
              </w:rPr>
              <w:tab/>
            </w:r>
            <w:r w:rsidRPr="00290300">
              <w:rPr>
                <w:webHidden/>
              </w:rPr>
              <w:fldChar w:fldCharType="begin"/>
            </w:r>
            <w:r w:rsidR="004329F0" w:rsidRPr="00290300">
              <w:rPr>
                <w:webHidden/>
              </w:rPr>
              <w:instrText xml:space="preserve"> PAGEREF _Toc393361864 \h </w:instrText>
            </w:r>
            <w:r w:rsidRPr="00290300">
              <w:rPr>
                <w:webHidden/>
              </w:rPr>
            </w:r>
            <w:r w:rsidRPr="00290300"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6</w:t>
            </w:r>
            <w:r w:rsidRPr="00290300">
              <w:rPr>
                <w:webHidden/>
              </w:rPr>
              <w:fldChar w:fldCharType="end"/>
            </w:r>
          </w:hyperlink>
        </w:p>
        <w:p w:rsidR="004329F0" w:rsidRPr="0029030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65" w:history="1">
            <w:r w:rsidR="004329F0" w:rsidRPr="00290300">
              <w:rPr>
                <w:rStyle w:val="Lienhypertexte"/>
              </w:rPr>
              <w:t>ANNEXE 1 : PRINCIPAUX INDICATEURS MENSUELS</w:t>
            </w:r>
            <w:r w:rsidR="004329F0" w:rsidRPr="00290300">
              <w:rPr>
                <w:webHidden/>
              </w:rPr>
              <w:tab/>
            </w:r>
            <w:r w:rsidRPr="00290300">
              <w:rPr>
                <w:webHidden/>
              </w:rPr>
              <w:fldChar w:fldCharType="begin"/>
            </w:r>
            <w:r w:rsidR="004329F0" w:rsidRPr="00290300">
              <w:rPr>
                <w:webHidden/>
              </w:rPr>
              <w:instrText xml:space="preserve"> PAGEREF _Toc393361865 \h </w:instrText>
            </w:r>
            <w:r w:rsidRPr="00290300">
              <w:rPr>
                <w:webHidden/>
              </w:rPr>
            </w:r>
            <w:r w:rsidRPr="00290300"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7</w:t>
            </w:r>
            <w:r w:rsidRPr="00290300">
              <w:rPr>
                <w:webHidden/>
              </w:rPr>
              <w:fldChar w:fldCharType="end"/>
            </w:r>
          </w:hyperlink>
        </w:p>
        <w:p w:rsidR="004329F0" w:rsidRPr="00290300" w:rsidRDefault="00835501" w:rsidP="00290300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hyperlink w:anchor="_Toc393361867" w:history="1">
            <w:r w:rsidR="004329F0" w:rsidRPr="00290300">
              <w:rPr>
                <w:rStyle w:val="Lienhypertexte"/>
              </w:rPr>
              <w:t>ANNEXE 2 : PRINCIPAUX INDICATEURS ANNUELS</w:t>
            </w:r>
            <w:r w:rsidR="004329F0" w:rsidRPr="00290300">
              <w:rPr>
                <w:webHidden/>
              </w:rPr>
              <w:tab/>
            </w:r>
            <w:r w:rsidRPr="00290300">
              <w:rPr>
                <w:webHidden/>
              </w:rPr>
              <w:fldChar w:fldCharType="begin"/>
            </w:r>
            <w:r w:rsidR="004329F0" w:rsidRPr="00290300">
              <w:rPr>
                <w:webHidden/>
              </w:rPr>
              <w:instrText xml:space="preserve"> PAGEREF _Toc393361867 \h </w:instrText>
            </w:r>
            <w:r w:rsidRPr="00290300">
              <w:rPr>
                <w:webHidden/>
              </w:rPr>
            </w:r>
            <w:r w:rsidRPr="00290300">
              <w:rPr>
                <w:webHidden/>
              </w:rPr>
              <w:fldChar w:fldCharType="separate"/>
            </w:r>
            <w:r w:rsidR="003E7EED">
              <w:rPr>
                <w:webHidden/>
              </w:rPr>
              <w:t>8</w:t>
            </w:r>
            <w:r w:rsidRPr="00290300">
              <w:rPr>
                <w:webHidden/>
              </w:rPr>
              <w:fldChar w:fldCharType="end"/>
            </w:r>
          </w:hyperlink>
        </w:p>
        <w:p w:rsidR="004329F0" w:rsidRDefault="00835501">
          <w:r>
            <w:fldChar w:fldCharType="end"/>
          </w:r>
        </w:p>
      </w:sdtContent>
    </w:sdt>
    <w:p w:rsidR="004329F0" w:rsidRDefault="004329F0" w:rsidP="00BD36F8">
      <w:pPr>
        <w:spacing w:after="120"/>
        <w:jc w:val="both"/>
        <w:rPr>
          <w:rFonts w:cs="Arial"/>
          <w:b/>
          <w:bCs/>
          <w:color w:val="00B0F0"/>
          <w:sz w:val="24"/>
        </w:rPr>
      </w:pPr>
    </w:p>
    <w:p w:rsidR="00AA1DB5" w:rsidRDefault="00AA1DB5" w:rsidP="00BD36F8">
      <w:pPr>
        <w:spacing w:after="120"/>
        <w:jc w:val="both"/>
        <w:rPr>
          <w:rFonts w:cs="Arial"/>
          <w:b/>
          <w:bCs/>
          <w:color w:val="00B0F0"/>
          <w:sz w:val="24"/>
        </w:rPr>
      </w:pPr>
    </w:p>
    <w:p w:rsidR="00AA1DB5" w:rsidRDefault="00AA1DB5" w:rsidP="00BD36F8">
      <w:pPr>
        <w:spacing w:after="120"/>
        <w:jc w:val="both"/>
        <w:rPr>
          <w:rFonts w:cs="Arial"/>
          <w:b/>
          <w:bCs/>
          <w:color w:val="00B0F0"/>
          <w:sz w:val="24"/>
        </w:rPr>
      </w:pPr>
    </w:p>
    <w:p w:rsidR="00EC7A33" w:rsidRDefault="00EC7A33" w:rsidP="00BD36F8">
      <w:pPr>
        <w:spacing w:after="120"/>
        <w:jc w:val="both"/>
        <w:rPr>
          <w:rFonts w:cs="Arial"/>
          <w:b/>
          <w:bCs/>
          <w:color w:val="00B0F0"/>
          <w:sz w:val="24"/>
        </w:rPr>
        <w:sectPr w:rsidR="00EC7A33" w:rsidSect="00C63362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81612" w:rsidRPr="002B6F18" w:rsidRDefault="00481612" w:rsidP="002B6F18">
      <w:pPr>
        <w:pStyle w:val="Titre1"/>
        <w:spacing w:before="0" w:after="120"/>
        <w:rPr>
          <w:rFonts w:ascii="Calibri" w:hAnsi="Calibri" w:cs="Arial"/>
          <w:bCs w:val="0"/>
          <w:color w:val="00B0F0"/>
          <w:sz w:val="24"/>
        </w:rPr>
      </w:pPr>
      <w:bookmarkStart w:id="1" w:name="_Toc393361845"/>
      <w:r w:rsidRPr="00C63362">
        <w:rPr>
          <w:rFonts w:ascii="Calibri" w:hAnsi="Calibri" w:cs="Arial"/>
          <w:color w:val="00B0F0"/>
          <w:sz w:val="24"/>
        </w:rPr>
        <w:lastRenderedPageBreak/>
        <w:t xml:space="preserve">I. </w:t>
      </w:r>
      <w:r w:rsidRPr="002B6F18">
        <w:rPr>
          <w:rFonts w:ascii="Calibri" w:hAnsi="Calibri" w:cs="Arial"/>
          <w:color w:val="00B0F0"/>
          <w:sz w:val="24"/>
        </w:rPr>
        <w:t>INTRODUCTION</w:t>
      </w:r>
      <w:bookmarkEnd w:id="1"/>
    </w:p>
    <w:p w:rsidR="00481612" w:rsidRPr="00E365D6" w:rsidRDefault="00481612" w:rsidP="00481612">
      <w:pPr>
        <w:spacing w:after="120"/>
        <w:jc w:val="both"/>
        <w:rPr>
          <w:sz w:val="24"/>
          <w:szCs w:val="24"/>
        </w:rPr>
      </w:pPr>
      <w:r w:rsidRPr="00E365D6">
        <w:rPr>
          <w:sz w:val="24"/>
          <w:szCs w:val="24"/>
        </w:rPr>
        <w:t>Les principaux indicateurs économiques ci-après portent sur l’évolution, à fin mai 2014, du secteur réel et des prix, des finances publiques, du commerce extérieur et du taux de change</w:t>
      </w:r>
      <w:r w:rsidR="00FF6A29" w:rsidRPr="00E365D6">
        <w:rPr>
          <w:sz w:val="24"/>
          <w:szCs w:val="24"/>
        </w:rPr>
        <w:t xml:space="preserve"> ainsi que</w:t>
      </w:r>
      <w:r w:rsidRPr="00E365D6">
        <w:rPr>
          <w:sz w:val="24"/>
          <w:szCs w:val="24"/>
        </w:rPr>
        <w:t xml:space="preserve"> de la  mas</w:t>
      </w:r>
      <w:r w:rsidR="001D4B68" w:rsidRPr="00E365D6">
        <w:rPr>
          <w:sz w:val="24"/>
          <w:szCs w:val="24"/>
        </w:rPr>
        <w:t>s</w:t>
      </w:r>
      <w:r w:rsidRPr="00E365D6">
        <w:rPr>
          <w:sz w:val="24"/>
          <w:szCs w:val="24"/>
        </w:rPr>
        <w:t>e monétaire et ses contreparties.</w:t>
      </w:r>
    </w:p>
    <w:p w:rsidR="00C63362" w:rsidRPr="00E365D6" w:rsidRDefault="00481612" w:rsidP="00C63362">
      <w:pPr>
        <w:spacing w:after="120"/>
        <w:jc w:val="both"/>
        <w:rPr>
          <w:sz w:val="24"/>
          <w:szCs w:val="24"/>
        </w:rPr>
      </w:pPr>
      <w:r w:rsidRPr="00E365D6">
        <w:rPr>
          <w:sz w:val="24"/>
          <w:szCs w:val="24"/>
        </w:rPr>
        <w:t xml:space="preserve">En glissement annuel, le secteur réel a été marqué par la progression de la production industrielle et du thé, les finances publiques se sont détériorées, le solde </w:t>
      </w:r>
      <w:r w:rsidR="00190EAE" w:rsidRPr="00E365D6">
        <w:rPr>
          <w:sz w:val="24"/>
          <w:szCs w:val="24"/>
        </w:rPr>
        <w:t xml:space="preserve">des transactions </w:t>
      </w:r>
      <w:r w:rsidR="00896EAA" w:rsidRPr="00E365D6">
        <w:rPr>
          <w:sz w:val="24"/>
          <w:szCs w:val="24"/>
        </w:rPr>
        <w:t xml:space="preserve">courantes </w:t>
      </w:r>
      <w:r w:rsidRPr="00E365D6">
        <w:rPr>
          <w:sz w:val="24"/>
          <w:szCs w:val="24"/>
        </w:rPr>
        <w:t xml:space="preserve">s’est </w:t>
      </w:r>
      <w:r w:rsidR="001D4B68" w:rsidRPr="00E365D6">
        <w:rPr>
          <w:sz w:val="24"/>
          <w:szCs w:val="24"/>
        </w:rPr>
        <w:t>aggravé</w:t>
      </w:r>
      <w:r w:rsidRPr="00E365D6">
        <w:rPr>
          <w:sz w:val="24"/>
          <w:szCs w:val="24"/>
        </w:rPr>
        <w:t xml:space="preserve"> et la masse monétaire s’est </w:t>
      </w:r>
      <w:r w:rsidR="001C6C53" w:rsidRPr="00E365D6">
        <w:rPr>
          <w:sz w:val="24"/>
          <w:szCs w:val="24"/>
        </w:rPr>
        <w:t>accrue</w:t>
      </w:r>
      <w:r w:rsidRPr="00E365D6">
        <w:rPr>
          <w:sz w:val="24"/>
          <w:szCs w:val="24"/>
        </w:rPr>
        <w:t xml:space="preserve">. </w:t>
      </w:r>
      <w:bookmarkStart w:id="2" w:name="_Toc393361846"/>
    </w:p>
    <w:p w:rsidR="00C63362" w:rsidRPr="00E365D6" w:rsidRDefault="00481612" w:rsidP="00C63362">
      <w:pPr>
        <w:spacing w:after="120"/>
        <w:jc w:val="both"/>
        <w:rPr>
          <w:rFonts w:cs="Calibri"/>
          <w:b/>
          <w:color w:val="00B0F0"/>
          <w:sz w:val="24"/>
          <w:szCs w:val="24"/>
        </w:rPr>
      </w:pPr>
      <w:r w:rsidRPr="00E365D6">
        <w:rPr>
          <w:rFonts w:cs="Calibri"/>
          <w:b/>
          <w:color w:val="00B0F0"/>
          <w:sz w:val="24"/>
          <w:szCs w:val="24"/>
        </w:rPr>
        <w:t>II. PRODUCTION</w:t>
      </w:r>
      <w:bookmarkStart w:id="3" w:name="_Toc393361847"/>
      <w:bookmarkEnd w:id="2"/>
    </w:p>
    <w:p w:rsidR="003B23ED" w:rsidRPr="00E365D6" w:rsidRDefault="000E1056" w:rsidP="00C63362">
      <w:pPr>
        <w:spacing w:after="120"/>
        <w:jc w:val="both"/>
        <w:rPr>
          <w:rFonts w:cs="Calibri"/>
          <w:sz w:val="24"/>
          <w:szCs w:val="24"/>
        </w:rPr>
      </w:pPr>
      <w:r w:rsidRPr="00E365D6">
        <w:rPr>
          <w:rFonts w:cs="Calibri"/>
          <w:sz w:val="24"/>
          <w:szCs w:val="24"/>
        </w:rPr>
        <w:t xml:space="preserve">La </w:t>
      </w:r>
      <w:r w:rsidR="003B23ED" w:rsidRPr="00E365D6">
        <w:rPr>
          <w:rFonts w:cs="Calibri"/>
          <w:sz w:val="24"/>
          <w:szCs w:val="24"/>
        </w:rPr>
        <w:t xml:space="preserve">production industrielle, </w:t>
      </w:r>
      <w:proofErr w:type="spellStart"/>
      <w:r w:rsidR="003B23ED" w:rsidRPr="00E365D6">
        <w:rPr>
          <w:rFonts w:cs="Calibri"/>
          <w:sz w:val="24"/>
          <w:szCs w:val="24"/>
        </w:rPr>
        <w:t>caféicole</w:t>
      </w:r>
      <w:proofErr w:type="spellEnd"/>
      <w:r w:rsidR="003B23ED" w:rsidRPr="00E365D6">
        <w:rPr>
          <w:rFonts w:cs="Calibri"/>
          <w:sz w:val="24"/>
          <w:szCs w:val="24"/>
        </w:rPr>
        <w:t xml:space="preserve"> et </w:t>
      </w:r>
      <w:proofErr w:type="spellStart"/>
      <w:r w:rsidR="003B23ED" w:rsidRPr="00E365D6">
        <w:rPr>
          <w:rFonts w:cs="Calibri"/>
          <w:sz w:val="24"/>
          <w:szCs w:val="24"/>
        </w:rPr>
        <w:t>théicole</w:t>
      </w:r>
      <w:proofErr w:type="spellEnd"/>
      <w:r w:rsidR="003B23ED" w:rsidRPr="00E365D6">
        <w:rPr>
          <w:rFonts w:cs="Calibri"/>
          <w:sz w:val="24"/>
          <w:szCs w:val="24"/>
        </w:rPr>
        <w:t xml:space="preserve"> </w:t>
      </w:r>
      <w:r w:rsidRPr="00E365D6">
        <w:rPr>
          <w:rFonts w:cs="Calibri"/>
          <w:sz w:val="24"/>
          <w:szCs w:val="24"/>
        </w:rPr>
        <w:t xml:space="preserve">s’est </w:t>
      </w:r>
      <w:r w:rsidR="003B23ED" w:rsidRPr="00E365D6">
        <w:rPr>
          <w:rFonts w:cs="Calibri"/>
          <w:sz w:val="24"/>
          <w:szCs w:val="24"/>
        </w:rPr>
        <w:t xml:space="preserve">améliorée au mois de mai </w:t>
      </w:r>
      <w:r w:rsidRPr="00E365D6">
        <w:rPr>
          <w:rFonts w:cs="Calibri"/>
          <w:sz w:val="24"/>
          <w:szCs w:val="24"/>
        </w:rPr>
        <w:t xml:space="preserve">2014 </w:t>
      </w:r>
      <w:r w:rsidR="003B23ED" w:rsidRPr="00E365D6">
        <w:rPr>
          <w:rFonts w:cs="Calibri"/>
          <w:sz w:val="24"/>
          <w:szCs w:val="24"/>
        </w:rPr>
        <w:t>par rapport au mois correspondant de 2013.</w:t>
      </w:r>
    </w:p>
    <w:p w:rsidR="00481612" w:rsidRPr="00E365D6" w:rsidRDefault="00481612" w:rsidP="00C63362">
      <w:pPr>
        <w:spacing w:after="120"/>
        <w:jc w:val="both"/>
        <w:rPr>
          <w:rFonts w:cs="Calibri"/>
          <w:color w:val="00B0F0"/>
          <w:sz w:val="24"/>
          <w:szCs w:val="24"/>
        </w:rPr>
      </w:pPr>
      <w:r w:rsidRPr="00E365D6">
        <w:rPr>
          <w:rFonts w:cs="Calibri"/>
          <w:b/>
          <w:color w:val="00B0F0"/>
          <w:sz w:val="24"/>
          <w:szCs w:val="24"/>
        </w:rPr>
        <w:t>Indice de la production industrielle</w:t>
      </w:r>
      <w:bookmarkEnd w:id="3"/>
    </w:p>
    <w:p w:rsidR="00481612" w:rsidRPr="00E365D6" w:rsidRDefault="00481612" w:rsidP="00BD36F8">
      <w:pPr>
        <w:spacing w:after="120"/>
        <w:jc w:val="both"/>
        <w:rPr>
          <w:sz w:val="24"/>
          <w:szCs w:val="24"/>
        </w:rPr>
      </w:pPr>
      <w:r w:rsidRPr="00E365D6">
        <w:rPr>
          <w:sz w:val="24"/>
          <w:szCs w:val="24"/>
        </w:rPr>
        <w:t>D’un mois à l’autre, l’indice de la production industrielle s’est accru de 22,7 p.c</w:t>
      </w:r>
      <w:r w:rsidR="00896EAA" w:rsidRPr="00E365D6">
        <w:rPr>
          <w:sz w:val="24"/>
          <w:szCs w:val="24"/>
        </w:rPr>
        <w:t xml:space="preserve">., </w:t>
      </w:r>
      <w:r w:rsidRPr="00E365D6">
        <w:rPr>
          <w:sz w:val="24"/>
          <w:szCs w:val="24"/>
        </w:rPr>
        <w:t xml:space="preserve">passant de 99,2 à 121,7 en raison principalement de l’augmentation de la production des boissons de la BRARUDI (17,1 p.c.) et de la fabrication de cigarettes </w:t>
      </w:r>
      <w:r w:rsidR="00896EAA" w:rsidRPr="00E365D6">
        <w:rPr>
          <w:sz w:val="24"/>
          <w:szCs w:val="24"/>
        </w:rPr>
        <w:t>(</w:t>
      </w:r>
      <w:r w:rsidRPr="00E365D6">
        <w:rPr>
          <w:sz w:val="24"/>
          <w:szCs w:val="24"/>
        </w:rPr>
        <w:t>94,3 p.c.).</w:t>
      </w:r>
    </w:p>
    <w:p w:rsidR="00481612" w:rsidRPr="00E365D6" w:rsidRDefault="003B23ED" w:rsidP="00BD36F8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E365D6">
        <w:rPr>
          <w:sz w:val="24"/>
          <w:szCs w:val="24"/>
        </w:rPr>
        <w:t>De même, par rapport à mai 2013, l’</w:t>
      </w:r>
      <w:r w:rsidR="00481612" w:rsidRPr="00E365D6">
        <w:rPr>
          <w:sz w:val="24"/>
          <w:szCs w:val="24"/>
        </w:rPr>
        <w:t xml:space="preserve">indice s’est accru de 5,5 p.c. en liaison essentiellement </w:t>
      </w:r>
      <w:r w:rsidR="00896EAA" w:rsidRPr="00E365D6">
        <w:rPr>
          <w:sz w:val="24"/>
          <w:szCs w:val="24"/>
        </w:rPr>
        <w:t xml:space="preserve">avec </w:t>
      </w:r>
      <w:r w:rsidR="00481612" w:rsidRPr="00E365D6">
        <w:rPr>
          <w:sz w:val="24"/>
          <w:szCs w:val="24"/>
        </w:rPr>
        <w:t>l’augmentation de la production de boissons de</w:t>
      </w:r>
      <w:r w:rsidR="00E2430E" w:rsidRPr="00E365D6">
        <w:rPr>
          <w:sz w:val="24"/>
          <w:szCs w:val="24"/>
        </w:rPr>
        <w:t xml:space="preserve"> la</w:t>
      </w:r>
      <w:r w:rsidR="00481612" w:rsidRPr="00E365D6">
        <w:rPr>
          <w:sz w:val="24"/>
          <w:szCs w:val="24"/>
        </w:rPr>
        <w:t xml:space="preserve"> BRARUDI (3,5 p.c.) et de cigarettes (30,0 p.c.).</w:t>
      </w:r>
    </w:p>
    <w:p w:rsidR="00481612" w:rsidRPr="00E365D6" w:rsidRDefault="00481612" w:rsidP="00C63362">
      <w:pPr>
        <w:pStyle w:val="Titre2"/>
        <w:spacing w:after="120"/>
        <w:rPr>
          <w:rFonts w:ascii="Calibri" w:hAnsi="Calibri" w:cs="Calibri"/>
          <w:sz w:val="24"/>
          <w:szCs w:val="24"/>
        </w:rPr>
      </w:pPr>
      <w:bookmarkStart w:id="4" w:name="_Toc393361848"/>
      <w:r w:rsidRPr="00E365D6">
        <w:rPr>
          <w:rFonts w:ascii="Calibri" w:hAnsi="Calibri"/>
          <w:color w:val="00B0F0"/>
          <w:sz w:val="24"/>
          <w:szCs w:val="24"/>
        </w:rPr>
        <w:t>Café</w:t>
      </w:r>
      <w:bookmarkEnd w:id="4"/>
    </w:p>
    <w:p w:rsidR="00481612" w:rsidRPr="002B6F18" w:rsidRDefault="00481612" w:rsidP="00E365D6">
      <w:pPr>
        <w:jc w:val="both"/>
        <w:rPr>
          <w:rFonts w:cs="Calibri"/>
        </w:rPr>
      </w:pPr>
      <w:r w:rsidRPr="00E365D6">
        <w:rPr>
          <w:rFonts w:cs="Calibri"/>
          <w:sz w:val="24"/>
          <w:szCs w:val="24"/>
        </w:rPr>
        <w:t xml:space="preserve">A fin mai 2014, les apports de café Arabica en </w:t>
      </w:r>
      <w:proofErr w:type="spellStart"/>
      <w:r w:rsidRPr="00E365D6">
        <w:rPr>
          <w:rFonts w:cs="Calibri"/>
          <w:sz w:val="24"/>
          <w:szCs w:val="24"/>
        </w:rPr>
        <w:t>parche</w:t>
      </w:r>
      <w:proofErr w:type="spellEnd"/>
      <w:r w:rsidRPr="00E365D6">
        <w:rPr>
          <w:rFonts w:cs="Calibri"/>
          <w:sz w:val="24"/>
          <w:szCs w:val="24"/>
        </w:rPr>
        <w:t xml:space="preserve"> de la campagne 2014/2015 se sont élevés à 441 T </w:t>
      </w:r>
      <w:r w:rsidR="00FF6A29" w:rsidRPr="00E365D6">
        <w:rPr>
          <w:rFonts w:cs="Calibri"/>
          <w:sz w:val="24"/>
          <w:szCs w:val="24"/>
        </w:rPr>
        <w:t>alors</w:t>
      </w:r>
      <w:r w:rsidRPr="00E365D6">
        <w:rPr>
          <w:rFonts w:cs="Calibri"/>
          <w:sz w:val="24"/>
          <w:szCs w:val="24"/>
        </w:rPr>
        <w:t xml:space="preserve"> que la campagne précédente n’avait pas encore enregistré </w:t>
      </w:r>
      <w:r w:rsidRPr="00E365D6">
        <w:rPr>
          <w:rFonts w:cs="Calibri"/>
          <w:sz w:val="24"/>
          <w:szCs w:val="24"/>
        </w:rPr>
        <w:lastRenderedPageBreak/>
        <w:t xml:space="preserve">d’apports de </w:t>
      </w:r>
      <w:proofErr w:type="spellStart"/>
      <w:r w:rsidRPr="00E365D6">
        <w:rPr>
          <w:rFonts w:cs="Calibri"/>
          <w:sz w:val="24"/>
          <w:szCs w:val="24"/>
        </w:rPr>
        <w:t>parche</w:t>
      </w:r>
      <w:proofErr w:type="spellEnd"/>
      <w:r w:rsidRPr="00E365D6">
        <w:rPr>
          <w:rFonts w:cs="Calibri"/>
          <w:sz w:val="24"/>
          <w:szCs w:val="24"/>
        </w:rPr>
        <w:t xml:space="preserve"> à cette période. </w:t>
      </w:r>
      <w:r w:rsidR="003B23ED" w:rsidRPr="00E365D6">
        <w:rPr>
          <w:rFonts w:cs="Calibri"/>
          <w:sz w:val="24"/>
          <w:szCs w:val="24"/>
        </w:rPr>
        <w:t>S</w:t>
      </w:r>
      <w:r w:rsidRPr="00E365D6">
        <w:rPr>
          <w:rFonts w:cs="Calibri"/>
          <w:sz w:val="24"/>
          <w:szCs w:val="24"/>
        </w:rPr>
        <w:t xml:space="preserve">elon les  prévisions de l’ARFIC, le volume total de café </w:t>
      </w:r>
      <w:proofErr w:type="spellStart"/>
      <w:r w:rsidRPr="00E365D6">
        <w:rPr>
          <w:rFonts w:cs="Calibri"/>
          <w:sz w:val="24"/>
          <w:szCs w:val="24"/>
        </w:rPr>
        <w:t>parche</w:t>
      </w:r>
      <w:proofErr w:type="spellEnd"/>
      <w:r w:rsidRPr="00E365D6">
        <w:rPr>
          <w:rFonts w:cs="Calibri"/>
          <w:sz w:val="24"/>
          <w:szCs w:val="24"/>
        </w:rPr>
        <w:t xml:space="preserve"> s’</w:t>
      </w:r>
      <w:r w:rsidR="00E2430E" w:rsidRPr="00E365D6">
        <w:rPr>
          <w:rFonts w:cs="Calibri"/>
          <w:sz w:val="24"/>
          <w:szCs w:val="24"/>
        </w:rPr>
        <w:t>établirait</w:t>
      </w:r>
      <w:r w:rsidRPr="00E365D6">
        <w:rPr>
          <w:rFonts w:cs="Calibri"/>
          <w:sz w:val="24"/>
          <w:szCs w:val="24"/>
        </w:rPr>
        <w:t xml:space="preserve"> à 27.730 contre 14.334 T</w:t>
      </w:r>
      <w:r w:rsidR="00E2430E" w:rsidRPr="00E365D6">
        <w:rPr>
          <w:rFonts w:cs="Calibri"/>
          <w:sz w:val="24"/>
          <w:szCs w:val="24"/>
        </w:rPr>
        <w:t xml:space="preserve"> </w:t>
      </w:r>
      <w:r w:rsidRPr="00E365D6">
        <w:rPr>
          <w:rFonts w:cs="Calibri"/>
          <w:sz w:val="24"/>
          <w:szCs w:val="24"/>
        </w:rPr>
        <w:t>la campagne écoulée, soit une hausse de 13.400 T</w:t>
      </w:r>
      <w:r w:rsidR="00896EAA" w:rsidRPr="00E365D6">
        <w:rPr>
          <w:rFonts w:cs="Calibri"/>
          <w:sz w:val="24"/>
          <w:szCs w:val="24"/>
        </w:rPr>
        <w:t xml:space="preserve"> (93,</w:t>
      </w:r>
      <w:r w:rsidR="00057EB8" w:rsidRPr="00E365D6">
        <w:rPr>
          <w:rFonts w:cs="Calibri"/>
          <w:sz w:val="24"/>
          <w:szCs w:val="24"/>
        </w:rPr>
        <w:t>5</w:t>
      </w:r>
      <w:r w:rsidR="00896EAA" w:rsidRPr="00E365D6">
        <w:rPr>
          <w:rFonts w:cs="Calibri"/>
          <w:sz w:val="24"/>
          <w:szCs w:val="24"/>
        </w:rPr>
        <w:t xml:space="preserve"> p.c.)</w:t>
      </w:r>
      <w:r w:rsidRPr="00E365D6">
        <w:rPr>
          <w:rFonts w:cs="Calibri"/>
          <w:sz w:val="24"/>
          <w:szCs w:val="24"/>
        </w:rPr>
        <w:t xml:space="preserve"> </w:t>
      </w:r>
      <w:r w:rsidR="00E2430E" w:rsidRPr="00E365D6">
        <w:rPr>
          <w:rFonts w:cs="Calibri"/>
          <w:sz w:val="24"/>
          <w:szCs w:val="24"/>
        </w:rPr>
        <w:t>consécutive</w:t>
      </w:r>
      <w:r w:rsidRPr="00E365D6">
        <w:rPr>
          <w:rFonts w:cs="Calibri"/>
          <w:sz w:val="24"/>
          <w:szCs w:val="24"/>
        </w:rPr>
        <w:t xml:space="preserve"> à la cyclicité du caféier</w:t>
      </w:r>
      <w:r w:rsidRPr="002B6F18">
        <w:rPr>
          <w:rFonts w:cs="Calibri"/>
        </w:rPr>
        <w:t xml:space="preserve">. </w:t>
      </w:r>
    </w:p>
    <w:p w:rsidR="00481612" w:rsidRPr="002B6F18" w:rsidRDefault="00481612" w:rsidP="00C63362">
      <w:pPr>
        <w:pStyle w:val="Titre2"/>
        <w:spacing w:after="120"/>
        <w:rPr>
          <w:rFonts w:ascii="Calibri" w:hAnsi="Calibri"/>
          <w:sz w:val="24"/>
        </w:rPr>
      </w:pPr>
      <w:bookmarkStart w:id="5" w:name="_Toc393361849"/>
      <w:r w:rsidRPr="002B6F18">
        <w:rPr>
          <w:rFonts w:ascii="Calibri" w:hAnsi="Calibri"/>
          <w:color w:val="00B0F0"/>
          <w:sz w:val="24"/>
        </w:rPr>
        <w:t>Thé</w:t>
      </w:r>
      <w:bookmarkEnd w:id="5"/>
    </w:p>
    <w:p w:rsidR="001941B2" w:rsidRPr="002B6F18" w:rsidRDefault="00481612" w:rsidP="001941B2">
      <w:pPr>
        <w:spacing w:after="120"/>
        <w:jc w:val="both"/>
        <w:rPr>
          <w:rFonts w:cs="Calibri"/>
        </w:rPr>
      </w:pPr>
      <w:r w:rsidRPr="002B6F18">
        <w:rPr>
          <w:rFonts w:cs="Calibri"/>
        </w:rPr>
        <w:t xml:space="preserve">La production de thé en feuilles vertes du mois de mai 2014 a baissé de 13,2 p .c. par rapport au mois précédent, revenant de 5.758 à 4.997 T suite à l’arrêt précoce des pluies. Toutefois, </w:t>
      </w:r>
      <w:r w:rsidR="001C6C53" w:rsidRPr="002B6F18">
        <w:rPr>
          <w:rFonts w:cs="Calibri"/>
        </w:rPr>
        <w:t xml:space="preserve">en glissement annuel, </w:t>
      </w:r>
      <w:r w:rsidRPr="002B6F18">
        <w:rPr>
          <w:rFonts w:cs="Calibri"/>
        </w:rPr>
        <w:t xml:space="preserve">la production cumulée a progressé de </w:t>
      </w:r>
      <w:r w:rsidR="00057EB8" w:rsidRPr="002B6F18">
        <w:rPr>
          <w:rFonts w:cs="Calibri"/>
        </w:rPr>
        <w:t>13,0</w:t>
      </w:r>
      <w:r w:rsidRPr="002B6F18">
        <w:rPr>
          <w:rFonts w:cs="Calibri"/>
        </w:rPr>
        <w:t xml:space="preserve"> p.c., passant de 23.597 à 2</w:t>
      </w:r>
      <w:r w:rsidR="001D4B68" w:rsidRPr="002B6F18">
        <w:rPr>
          <w:rFonts w:cs="Calibri"/>
        </w:rPr>
        <w:t>5</w:t>
      </w:r>
      <w:r w:rsidRPr="002B6F18">
        <w:rPr>
          <w:rFonts w:cs="Calibri"/>
        </w:rPr>
        <w:t>.664 T.</w:t>
      </w:r>
      <w:bookmarkStart w:id="6" w:name="_Toc393361850"/>
    </w:p>
    <w:p w:rsidR="000A24B0" w:rsidRPr="002B6F18" w:rsidRDefault="00AA1DB5" w:rsidP="001941B2">
      <w:pPr>
        <w:spacing w:after="120"/>
        <w:jc w:val="both"/>
        <w:rPr>
          <w:b/>
          <w:color w:val="00B0F0"/>
          <w:szCs w:val="24"/>
        </w:rPr>
      </w:pPr>
      <w:r w:rsidRPr="002B6F18">
        <w:rPr>
          <w:b/>
          <w:color w:val="00B0F0"/>
          <w:szCs w:val="24"/>
        </w:rPr>
        <w:t>III. INDICE DES PRIX A LA CONSOMMATION</w:t>
      </w:r>
      <w:bookmarkEnd w:id="6"/>
    </w:p>
    <w:p w:rsidR="00CD6040" w:rsidRPr="002B6F18" w:rsidRDefault="00CD6040" w:rsidP="00CD604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Mesuré par l</w:t>
      </w:r>
      <w:r w:rsidRPr="002B6F18">
        <w:rPr>
          <w:sz w:val="24"/>
          <w:szCs w:val="24"/>
        </w:rPr>
        <w:t>’indice général des prix à la consommation de</w:t>
      </w:r>
      <w:r>
        <w:rPr>
          <w:sz w:val="24"/>
          <w:szCs w:val="24"/>
        </w:rPr>
        <w:t>s ménages de Bujumbura, (</w:t>
      </w:r>
      <w:r w:rsidRPr="002B6F18">
        <w:rPr>
          <w:sz w:val="24"/>
          <w:szCs w:val="24"/>
        </w:rPr>
        <w:t>102,5 contre 99,1</w:t>
      </w:r>
      <w:r>
        <w:rPr>
          <w:sz w:val="24"/>
          <w:szCs w:val="24"/>
        </w:rPr>
        <w:t>),</w:t>
      </w:r>
      <w:r w:rsidRPr="002B6F1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2B6F18">
        <w:rPr>
          <w:sz w:val="24"/>
          <w:szCs w:val="24"/>
        </w:rPr>
        <w:t>e taux d’inflation s’est établi à 3,4 contre 6,2 p.c. à la même période de l’année précédente.</w:t>
      </w:r>
    </w:p>
    <w:p w:rsidR="000A24B0" w:rsidRPr="002B6F18" w:rsidRDefault="000A24B0" w:rsidP="00C57B0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Cette décélération du taux d’inflation est lié</w:t>
      </w:r>
      <w:r w:rsidR="00EF302F" w:rsidRPr="002B6F18">
        <w:rPr>
          <w:sz w:val="24"/>
          <w:szCs w:val="24"/>
        </w:rPr>
        <w:t>e</w:t>
      </w:r>
      <w:r w:rsidRPr="002B6F18">
        <w:rPr>
          <w:sz w:val="24"/>
          <w:szCs w:val="24"/>
        </w:rPr>
        <w:t xml:space="preserve">, à la fois, </w:t>
      </w:r>
      <w:r w:rsidR="003B23ED" w:rsidRPr="002B6F18">
        <w:rPr>
          <w:sz w:val="24"/>
          <w:szCs w:val="24"/>
        </w:rPr>
        <w:t>au ralentissement</w:t>
      </w:r>
      <w:r w:rsidRPr="002B6F18">
        <w:rPr>
          <w:sz w:val="24"/>
          <w:szCs w:val="24"/>
        </w:rPr>
        <w:t xml:space="preserve"> des prix des produits </w:t>
      </w:r>
      <w:r w:rsidR="00EF302F" w:rsidRPr="002B6F18">
        <w:rPr>
          <w:sz w:val="24"/>
          <w:szCs w:val="24"/>
        </w:rPr>
        <w:t>« </w:t>
      </w:r>
      <w:r w:rsidRPr="002B6F18">
        <w:rPr>
          <w:sz w:val="24"/>
          <w:szCs w:val="24"/>
        </w:rPr>
        <w:t>alimentaires et boissons non alcoolisées</w:t>
      </w:r>
      <w:r w:rsidR="00EF302F" w:rsidRPr="002B6F18">
        <w:rPr>
          <w:sz w:val="24"/>
          <w:szCs w:val="24"/>
        </w:rPr>
        <w:t> »</w:t>
      </w:r>
      <w:r w:rsidRPr="002B6F18">
        <w:rPr>
          <w:sz w:val="24"/>
          <w:szCs w:val="24"/>
        </w:rPr>
        <w:t xml:space="preserve"> (1,7 contre 6,2 p.c.) et </w:t>
      </w:r>
      <w:r w:rsidR="00057EB8" w:rsidRPr="002B6F18">
        <w:rPr>
          <w:sz w:val="24"/>
          <w:szCs w:val="24"/>
        </w:rPr>
        <w:t xml:space="preserve">des produits </w:t>
      </w:r>
      <w:r w:rsidR="00EF302F" w:rsidRPr="002B6F18">
        <w:rPr>
          <w:sz w:val="24"/>
          <w:szCs w:val="24"/>
        </w:rPr>
        <w:t>«  </w:t>
      </w:r>
      <w:r w:rsidRPr="002B6F18">
        <w:rPr>
          <w:sz w:val="24"/>
          <w:szCs w:val="24"/>
        </w:rPr>
        <w:t>non alimentaires</w:t>
      </w:r>
      <w:r w:rsidR="00EF302F" w:rsidRPr="002B6F18">
        <w:rPr>
          <w:sz w:val="24"/>
          <w:szCs w:val="24"/>
        </w:rPr>
        <w:t> » </w:t>
      </w:r>
      <w:r w:rsidRPr="002B6F18">
        <w:rPr>
          <w:sz w:val="24"/>
          <w:szCs w:val="24"/>
        </w:rPr>
        <w:t xml:space="preserve"> (4,7 contre 7,6 p.c.).</w:t>
      </w:r>
    </w:p>
    <w:p w:rsidR="000A24B0" w:rsidRPr="002B6F18" w:rsidRDefault="000A24B0" w:rsidP="00C57B0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La décélération de l’inflation </w:t>
      </w:r>
      <w:r w:rsidR="000E1056">
        <w:rPr>
          <w:sz w:val="24"/>
          <w:szCs w:val="24"/>
        </w:rPr>
        <w:t>« </w:t>
      </w:r>
      <w:r w:rsidRPr="002B6F18">
        <w:rPr>
          <w:sz w:val="24"/>
          <w:szCs w:val="24"/>
        </w:rPr>
        <w:t xml:space="preserve"> hors alimentation</w:t>
      </w:r>
      <w:r w:rsidR="000E1056">
        <w:rPr>
          <w:sz w:val="24"/>
          <w:szCs w:val="24"/>
        </w:rPr>
        <w:t> »</w:t>
      </w:r>
      <w:r w:rsidRPr="002B6F18">
        <w:rPr>
          <w:sz w:val="24"/>
          <w:szCs w:val="24"/>
        </w:rPr>
        <w:t xml:space="preserve">a concerné essentiellement </w:t>
      </w:r>
      <w:r w:rsidR="00057EB8" w:rsidRPr="002B6F18">
        <w:rPr>
          <w:sz w:val="24"/>
          <w:szCs w:val="24"/>
        </w:rPr>
        <w:t>l</w:t>
      </w:r>
      <w:r w:rsidRPr="002B6F18">
        <w:rPr>
          <w:sz w:val="24"/>
          <w:szCs w:val="24"/>
        </w:rPr>
        <w:t>es</w:t>
      </w:r>
      <w:r w:rsidR="00057EB8" w:rsidRPr="002B6F18">
        <w:rPr>
          <w:sz w:val="24"/>
          <w:szCs w:val="24"/>
        </w:rPr>
        <w:t xml:space="preserve"> </w:t>
      </w:r>
      <w:r w:rsidR="001A41B5">
        <w:rPr>
          <w:sz w:val="24"/>
          <w:szCs w:val="24"/>
        </w:rPr>
        <w:t>divisions</w:t>
      </w:r>
      <w:r w:rsidRPr="002B6F18">
        <w:rPr>
          <w:sz w:val="24"/>
          <w:szCs w:val="24"/>
        </w:rPr>
        <w:t xml:space="preserve"> «boissons alcoolisées et tabac » (-0,2 contre 14,4 p.c.), « logement, eau, électricité, gaz et autres combustibles»</w:t>
      </w:r>
      <w:r w:rsidR="0063224F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>(4,3</w:t>
      </w:r>
      <w:r w:rsidR="0063224F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>contre</w:t>
      </w:r>
      <w:r w:rsidR="0063224F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>6,0 p.c.), « loisirs et culture » (2,3 contre</w:t>
      </w:r>
      <w:r w:rsidR="0063224F">
        <w:rPr>
          <w:sz w:val="24"/>
          <w:szCs w:val="24"/>
        </w:rPr>
        <w:t xml:space="preserve">     </w:t>
      </w:r>
      <w:r w:rsidRPr="002B6F18">
        <w:rPr>
          <w:sz w:val="24"/>
          <w:szCs w:val="24"/>
        </w:rPr>
        <w:t xml:space="preserve"> 9,5 p.c.), « hôtellerie, café et restauration » (5,9 contre 8,9 p.c.) </w:t>
      </w:r>
      <w:r w:rsidR="00057EB8" w:rsidRPr="002B6F18">
        <w:rPr>
          <w:sz w:val="24"/>
          <w:szCs w:val="24"/>
        </w:rPr>
        <w:t>et </w:t>
      </w:r>
      <w:r w:rsidRPr="002B6F18">
        <w:rPr>
          <w:sz w:val="24"/>
          <w:szCs w:val="24"/>
        </w:rPr>
        <w:t xml:space="preserve"> </w:t>
      </w:r>
      <w:r w:rsidR="00057EB8" w:rsidRPr="002B6F18">
        <w:rPr>
          <w:sz w:val="24"/>
          <w:szCs w:val="24"/>
        </w:rPr>
        <w:t>« </w:t>
      </w:r>
      <w:r w:rsidRPr="002B6F18">
        <w:rPr>
          <w:sz w:val="24"/>
          <w:szCs w:val="24"/>
        </w:rPr>
        <w:t>biens et autres services » (8,9 contre 28,1</w:t>
      </w:r>
      <w:r w:rsidR="00BD36F8" w:rsidRPr="002B6F18">
        <w:rPr>
          <w:sz w:val="24"/>
          <w:szCs w:val="24"/>
        </w:rPr>
        <w:t xml:space="preserve"> p.c.</w:t>
      </w:r>
      <w:r w:rsidRPr="002B6F18">
        <w:rPr>
          <w:sz w:val="24"/>
          <w:szCs w:val="24"/>
        </w:rPr>
        <w:t>).</w:t>
      </w:r>
    </w:p>
    <w:p w:rsidR="00C63362" w:rsidRDefault="00C63362" w:rsidP="000A24B0">
      <w:pPr>
        <w:rPr>
          <w:b/>
          <w:color w:val="00B0F0"/>
          <w:sz w:val="24"/>
          <w:szCs w:val="24"/>
        </w:rPr>
      </w:pPr>
    </w:p>
    <w:p w:rsidR="000A24B0" w:rsidRPr="002B6F18" w:rsidRDefault="000A24B0" w:rsidP="000A24B0">
      <w:pPr>
        <w:rPr>
          <w:b/>
          <w:color w:val="00B0F0"/>
          <w:sz w:val="24"/>
          <w:szCs w:val="24"/>
        </w:rPr>
      </w:pPr>
      <w:r w:rsidRPr="002B6F18">
        <w:rPr>
          <w:b/>
          <w:color w:val="00B0F0"/>
          <w:sz w:val="24"/>
          <w:szCs w:val="24"/>
        </w:rPr>
        <w:lastRenderedPageBreak/>
        <w:t>Indice des prix à la consommation</w:t>
      </w:r>
      <w:r w:rsidR="002B6F18" w:rsidRPr="002B6F18">
        <w:rPr>
          <w:b/>
          <w:color w:val="00B0F0"/>
          <w:sz w:val="24"/>
          <w:szCs w:val="24"/>
        </w:rPr>
        <w:t xml:space="preserve"> </w:t>
      </w:r>
    </w:p>
    <w:p w:rsidR="000A24B0" w:rsidRPr="002B6F18" w:rsidRDefault="00835501" w:rsidP="000A24B0">
      <w:pPr>
        <w:rPr>
          <w:b/>
          <w:sz w:val="24"/>
          <w:szCs w:val="24"/>
        </w:rPr>
      </w:pPr>
      <w:r w:rsidRPr="002B6F18">
        <w:rPr>
          <w:b/>
          <w:sz w:val="24"/>
          <w:szCs w:val="24"/>
        </w:rPr>
        <w:fldChar w:fldCharType="begin"/>
      </w:r>
      <w:r w:rsidR="00F86622" w:rsidRPr="002B6F18">
        <w:rPr>
          <w:b/>
          <w:sz w:val="24"/>
          <w:szCs w:val="24"/>
        </w:rPr>
        <w:instrText xml:space="preserve"> LINK Excel.Sheet.8 "F:\\IPC TABL. INDIC. MENSUEL.xls!Mai 2014!L2C1:L17C4" "" \a \p \* MERGEFORMAT </w:instrText>
      </w:r>
      <w:r w:rsidRPr="002B6F18">
        <w:rPr>
          <w:b/>
          <w:sz w:val="24"/>
          <w:szCs w:val="24"/>
        </w:rPr>
        <w:fldChar w:fldCharType="separate"/>
      </w:r>
      <w:r w:rsidR="003E7EED" w:rsidRPr="00835501">
        <w:rPr>
          <w:b/>
          <w:sz w:val="24"/>
          <w:szCs w:val="24"/>
        </w:rPr>
        <w:object w:dxaOrig="10365" w:dyaOrig="4995">
          <v:shape id="_x0000_i1026" type="#_x0000_t75" style="width:220.5pt;height:255pt">
            <v:imagedata r:id="rId13" o:title=""/>
          </v:shape>
        </w:object>
      </w:r>
      <w:r w:rsidRPr="002B6F18">
        <w:rPr>
          <w:b/>
          <w:sz w:val="24"/>
          <w:szCs w:val="24"/>
        </w:rPr>
        <w:fldChar w:fldCharType="end"/>
      </w:r>
    </w:p>
    <w:p w:rsidR="00C63362" w:rsidRPr="002B6F18" w:rsidRDefault="000A24B0" w:rsidP="001A21AE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Par rapport au mois précédent, le taux d’inflation</w:t>
      </w:r>
      <w:r w:rsidR="00EF302F" w:rsidRPr="002B6F18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>s’est accru de 0,9 p.c.</w:t>
      </w:r>
      <w:r w:rsidR="00EF302F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l’indice général</w:t>
      </w:r>
      <w:r w:rsidR="00EF302F" w:rsidRPr="002B6F18">
        <w:rPr>
          <w:sz w:val="24"/>
          <w:szCs w:val="24"/>
        </w:rPr>
        <w:t xml:space="preserve"> s’étant fixé à </w:t>
      </w:r>
      <w:r w:rsidRPr="002B6F18">
        <w:rPr>
          <w:sz w:val="24"/>
          <w:szCs w:val="24"/>
        </w:rPr>
        <w:t>102,5 contre 101,6.</w:t>
      </w:r>
      <w:bookmarkStart w:id="7" w:name="_Toc393361851"/>
    </w:p>
    <w:p w:rsidR="00C63362" w:rsidRPr="002B6F18" w:rsidRDefault="00C63362" w:rsidP="001A21AE">
      <w:pPr>
        <w:spacing w:after="120"/>
        <w:jc w:val="both"/>
        <w:rPr>
          <w:b/>
          <w:color w:val="00B0F0"/>
          <w:sz w:val="24"/>
          <w:szCs w:val="24"/>
        </w:rPr>
      </w:pPr>
      <w:r w:rsidRPr="002B6F18">
        <w:rPr>
          <w:color w:val="00B0F0"/>
          <w:sz w:val="24"/>
          <w:szCs w:val="24"/>
        </w:rPr>
        <w:t xml:space="preserve"> </w:t>
      </w:r>
      <w:r w:rsidR="00FA0B23" w:rsidRPr="002B6F18">
        <w:rPr>
          <w:b/>
          <w:color w:val="00B0F0"/>
          <w:sz w:val="24"/>
          <w:szCs w:val="24"/>
        </w:rPr>
        <w:t>I</w:t>
      </w:r>
      <w:r w:rsidR="00FA10C6" w:rsidRPr="002B6F18">
        <w:rPr>
          <w:b/>
          <w:color w:val="00B0F0"/>
          <w:sz w:val="24"/>
          <w:szCs w:val="24"/>
        </w:rPr>
        <w:t>V. FINANCES PUBLIQUES</w:t>
      </w:r>
      <w:bookmarkStart w:id="8" w:name="_Toc393361852"/>
      <w:bookmarkEnd w:id="7"/>
    </w:p>
    <w:p w:rsidR="004605E2" w:rsidRPr="002B6F18" w:rsidRDefault="004605E2" w:rsidP="004605E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La situation des finances publ</w:t>
      </w:r>
      <w:r w:rsidR="000E1056">
        <w:rPr>
          <w:sz w:val="24"/>
          <w:szCs w:val="24"/>
        </w:rPr>
        <w:t>iques est restée incertaine. L’</w:t>
      </w:r>
      <w:r w:rsidRPr="002B6F18">
        <w:rPr>
          <w:sz w:val="24"/>
          <w:szCs w:val="24"/>
        </w:rPr>
        <w:t xml:space="preserve">amélioration des recettes a été </w:t>
      </w:r>
      <w:r w:rsidR="00E365D6">
        <w:rPr>
          <w:sz w:val="24"/>
          <w:szCs w:val="24"/>
        </w:rPr>
        <w:t>contrebalancée</w:t>
      </w:r>
      <w:r w:rsidRPr="002B6F18">
        <w:rPr>
          <w:sz w:val="24"/>
          <w:szCs w:val="24"/>
        </w:rPr>
        <w:t xml:space="preserve"> par l’accroissement </w:t>
      </w:r>
      <w:r w:rsidR="000E1056">
        <w:rPr>
          <w:sz w:val="24"/>
          <w:szCs w:val="24"/>
        </w:rPr>
        <w:t>d</w:t>
      </w:r>
      <w:r w:rsidRPr="002B6F18">
        <w:rPr>
          <w:sz w:val="24"/>
          <w:szCs w:val="24"/>
        </w:rPr>
        <w:t xml:space="preserve">es dépenses et la dette publique </w:t>
      </w:r>
      <w:r w:rsidR="000E1056">
        <w:rPr>
          <w:sz w:val="24"/>
          <w:szCs w:val="24"/>
        </w:rPr>
        <w:t xml:space="preserve">a </w:t>
      </w:r>
      <w:r w:rsidRPr="002B6F18">
        <w:rPr>
          <w:sz w:val="24"/>
          <w:szCs w:val="24"/>
        </w:rPr>
        <w:t xml:space="preserve">gardé une tendance à la </w:t>
      </w:r>
      <w:r w:rsidR="000E1056">
        <w:rPr>
          <w:sz w:val="24"/>
          <w:szCs w:val="24"/>
        </w:rPr>
        <w:t xml:space="preserve">hausse, surtout celle envers </w:t>
      </w:r>
      <w:r w:rsidR="00E365D6">
        <w:rPr>
          <w:sz w:val="24"/>
          <w:szCs w:val="24"/>
        </w:rPr>
        <w:t xml:space="preserve">le secteur bancaire et particulièrement </w:t>
      </w:r>
      <w:r w:rsidR="000E1056">
        <w:rPr>
          <w:sz w:val="24"/>
          <w:szCs w:val="24"/>
        </w:rPr>
        <w:t>la banque centrale.</w:t>
      </w:r>
    </w:p>
    <w:p w:rsidR="00FA10C6" w:rsidRPr="002B6F18" w:rsidRDefault="00FA10C6" w:rsidP="00C63362">
      <w:pPr>
        <w:spacing w:after="120"/>
        <w:jc w:val="both"/>
        <w:rPr>
          <w:b/>
          <w:sz w:val="24"/>
          <w:szCs w:val="24"/>
        </w:rPr>
      </w:pPr>
      <w:r w:rsidRPr="002B6F18">
        <w:rPr>
          <w:b/>
          <w:color w:val="00B0F0"/>
          <w:sz w:val="24"/>
          <w:szCs w:val="24"/>
        </w:rPr>
        <w:t>Recettes</w:t>
      </w:r>
      <w:bookmarkEnd w:id="8"/>
      <w:r w:rsidRPr="002B6F18">
        <w:rPr>
          <w:b/>
          <w:sz w:val="24"/>
          <w:szCs w:val="24"/>
        </w:rPr>
        <w:t xml:space="preserve"> </w:t>
      </w:r>
    </w:p>
    <w:p w:rsidR="00864FD2" w:rsidRPr="002B6F18" w:rsidRDefault="00872402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La collecte des recettes jusqu’à la fin du mois de Mai 2014 a été marquée par une augmentation de 26.0</w:t>
      </w:r>
      <w:r w:rsidR="001843CB" w:rsidRPr="002B6F18">
        <w:rPr>
          <w:sz w:val="24"/>
          <w:szCs w:val="24"/>
        </w:rPr>
        <w:t>22,7</w:t>
      </w:r>
      <w:r w:rsidRPr="002B6F18">
        <w:rPr>
          <w:sz w:val="24"/>
          <w:szCs w:val="24"/>
        </w:rPr>
        <w:t xml:space="preserve"> M</w:t>
      </w:r>
      <w:r w:rsidR="00F047D3" w:rsidRPr="002B6F18">
        <w:rPr>
          <w:sz w:val="24"/>
          <w:szCs w:val="24"/>
        </w:rPr>
        <w:t xml:space="preserve">BIF </w:t>
      </w:r>
      <w:r w:rsidRPr="002B6F18">
        <w:rPr>
          <w:sz w:val="24"/>
          <w:szCs w:val="24"/>
        </w:rPr>
        <w:t xml:space="preserve">par rapport à </w:t>
      </w:r>
      <w:r w:rsidR="00551DC3" w:rsidRPr="002B6F18">
        <w:rPr>
          <w:sz w:val="24"/>
          <w:szCs w:val="24"/>
        </w:rPr>
        <w:t xml:space="preserve">fin </w:t>
      </w:r>
      <w:r w:rsidRPr="002B6F18">
        <w:rPr>
          <w:sz w:val="24"/>
          <w:szCs w:val="24"/>
        </w:rPr>
        <w:t xml:space="preserve">Mai 2013 dénotant une bonne réalisation par rapport aux prévisions. En effet les recettes fiscales ont été réalisées à hauteur de 96 p.c. des </w:t>
      </w:r>
      <w:r w:rsidRPr="002B6F18">
        <w:rPr>
          <w:sz w:val="24"/>
          <w:szCs w:val="24"/>
        </w:rPr>
        <w:lastRenderedPageBreak/>
        <w:t>prévisions de</w:t>
      </w:r>
      <w:r w:rsidR="000E2AAA" w:rsidRPr="002B6F18">
        <w:rPr>
          <w:sz w:val="24"/>
          <w:szCs w:val="24"/>
        </w:rPr>
        <w:t xml:space="preserve"> la période et </w:t>
      </w:r>
      <w:r w:rsidRPr="002B6F18">
        <w:rPr>
          <w:sz w:val="24"/>
          <w:szCs w:val="24"/>
        </w:rPr>
        <w:t>les recettes non fiscales à 219 p.c</w:t>
      </w:r>
      <w:r w:rsidR="00864FD2" w:rsidRPr="002B6F18">
        <w:rPr>
          <w:sz w:val="24"/>
          <w:szCs w:val="24"/>
        </w:rPr>
        <w:t>.</w:t>
      </w:r>
    </w:p>
    <w:p w:rsidR="000E2AAA" w:rsidRPr="002B6F18" w:rsidRDefault="00E365D6" w:rsidP="00864F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D’un mois à l’autre, les recettes ont, par contre, baissé</w:t>
      </w:r>
      <w:r w:rsidR="000E2AAA" w:rsidRPr="002B6F18">
        <w:rPr>
          <w:sz w:val="24"/>
          <w:szCs w:val="24"/>
        </w:rPr>
        <w:t xml:space="preserve"> de </w:t>
      </w:r>
      <w:r w:rsidRPr="002B6F18">
        <w:rPr>
          <w:sz w:val="24"/>
          <w:szCs w:val="24"/>
        </w:rPr>
        <w:t>22.411 MBIF</w:t>
      </w:r>
      <w:r>
        <w:rPr>
          <w:sz w:val="24"/>
          <w:szCs w:val="24"/>
        </w:rPr>
        <w:t xml:space="preserve"> par rapport au</w:t>
      </w:r>
      <w:r w:rsidRPr="002B6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mois précédent, s’établissant à </w:t>
      </w:r>
      <w:r w:rsidR="000E2AAA" w:rsidRPr="002B6F18">
        <w:rPr>
          <w:sz w:val="24"/>
          <w:szCs w:val="24"/>
        </w:rPr>
        <w:t>41.0</w:t>
      </w:r>
      <w:r w:rsidR="00F047D3" w:rsidRPr="002B6F18">
        <w:rPr>
          <w:sz w:val="24"/>
          <w:szCs w:val="24"/>
        </w:rPr>
        <w:t>49,6</w:t>
      </w:r>
      <w:r w:rsidR="000E2AAA" w:rsidRPr="002B6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contre </w:t>
      </w:r>
      <w:r w:rsidR="004E0FEA" w:rsidRPr="002B6F18">
        <w:rPr>
          <w:sz w:val="24"/>
          <w:szCs w:val="24"/>
        </w:rPr>
        <w:t>63.460,6 MBIF</w:t>
      </w:r>
      <w:r>
        <w:rPr>
          <w:sz w:val="24"/>
          <w:szCs w:val="24"/>
        </w:rPr>
        <w:t xml:space="preserve"> </w:t>
      </w:r>
      <w:r w:rsidR="00C967CA" w:rsidRPr="002B6F18">
        <w:rPr>
          <w:sz w:val="24"/>
          <w:szCs w:val="24"/>
        </w:rPr>
        <w:t xml:space="preserve">en liaison principalement avec </w:t>
      </w:r>
      <w:r w:rsidR="000E2AAA" w:rsidRPr="002B6F18">
        <w:rPr>
          <w:sz w:val="24"/>
          <w:szCs w:val="24"/>
        </w:rPr>
        <w:t>une recette exceptionnelle de 1</w:t>
      </w:r>
      <w:r w:rsidR="003822B2" w:rsidRPr="002B6F18">
        <w:rPr>
          <w:sz w:val="24"/>
          <w:szCs w:val="24"/>
        </w:rPr>
        <w:t>9.7</w:t>
      </w:r>
      <w:r w:rsidR="00F047D3" w:rsidRPr="002B6F18">
        <w:rPr>
          <w:sz w:val="24"/>
          <w:szCs w:val="24"/>
        </w:rPr>
        <w:t>30,9 MBIF</w:t>
      </w:r>
      <w:r w:rsidR="00C967CA" w:rsidRPr="002B6F18">
        <w:rPr>
          <w:sz w:val="24"/>
          <w:szCs w:val="24"/>
        </w:rPr>
        <w:t xml:space="preserve"> encaissé</w:t>
      </w:r>
      <w:r w:rsidR="009A1302" w:rsidRPr="002B6F18">
        <w:rPr>
          <w:sz w:val="24"/>
          <w:szCs w:val="24"/>
        </w:rPr>
        <w:t>e</w:t>
      </w:r>
      <w:r w:rsidR="00C967CA" w:rsidRPr="002B6F18">
        <w:rPr>
          <w:sz w:val="24"/>
          <w:szCs w:val="24"/>
        </w:rPr>
        <w:t xml:space="preserve"> </w:t>
      </w:r>
      <w:r w:rsidR="00551DC3" w:rsidRPr="002B6F18">
        <w:rPr>
          <w:sz w:val="24"/>
          <w:szCs w:val="24"/>
        </w:rPr>
        <w:t xml:space="preserve">au mois d’Avril </w:t>
      </w:r>
      <w:r w:rsidR="004E0FEA" w:rsidRPr="002B6F18">
        <w:rPr>
          <w:sz w:val="24"/>
          <w:szCs w:val="24"/>
        </w:rPr>
        <w:t xml:space="preserve">suite à </w:t>
      </w:r>
      <w:r w:rsidR="00C967CA" w:rsidRPr="002B6F18">
        <w:rPr>
          <w:sz w:val="24"/>
          <w:szCs w:val="24"/>
        </w:rPr>
        <w:t xml:space="preserve"> </w:t>
      </w:r>
      <w:r w:rsidR="003822B2" w:rsidRPr="002B6F18">
        <w:rPr>
          <w:sz w:val="24"/>
          <w:szCs w:val="24"/>
        </w:rPr>
        <w:t>l’achat</w:t>
      </w:r>
      <w:r w:rsidR="00551DC3" w:rsidRPr="002B6F18">
        <w:rPr>
          <w:sz w:val="24"/>
          <w:szCs w:val="24"/>
        </w:rPr>
        <w:t xml:space="preserve"> </w:t>
      </w:r>
      <w:r w:rsidR="003822B2" w:rsidRPr="002B6F18">
        <w:rPr>
          <w:sz w:val="24"/>
          <w:szCs w:val="24"/>
        </w:rPr>
        <w:t xml:space="preserve">d’une licence d’exploitation par </w:t>
      </w:r>
      <w:r w:rsidR="00C967CA" w:rsidRPr="002B6F18">
        <w:rPr>
          <w:sz w:val="24"/>
          <w:szCs w:val="24"/>
        </w:rPr>
        <w:t>une nouvelle société de téléco</w:t>
      </w:r>
      <w:r w:rsidR="00ED3C4D" w:rsidRPr="002B6F18">
        <w:rPr>
          <w:sz w:val="24"/>
          <w:szCs w:val="24"/>
        </w:rPr>
        <w:t>m</w:t>
      </w:r>
      <w:r w:rsidR="00C967CA" w:rsidRPr="002B6F18">
        <w:rPr>
          <w:sz w:val="24"/>
          <w:szCs w:val="24"/>
        </w:rPr>
        <w:t>munication</w:t>
      </w:r>
      <w:r w:rsidR="003822B2" w:rsidRPr="002B6F18">
        <w:rPr>
          <w:sz w:val="24"/>
          <w:szCs w:val="24"/>
        </w:rPr>
        <w:t>.</w:t>
      </w:r>
    </w:p>
    <w:p w:rsidR="003822B2" w:rsidRPr="002B6F18" w:rsidRDefault="003822B2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Ainsi</w:t>
      </w:r>
      <w:r w:rsidR="00551DC3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les réalisations des recettes fiscales </w:t>
      </w:r>
      <w:r w:rsidR="00551DC3" w:rsidRPr="002B6F18">
        <w:rPr>
          <w:sz w:val="24"/>
          <w:szCs w:val="24"/>
        </w:rPr>
        <w:t xml:space="preserve">et non fiscales </w:t>
      </w:r>
      <w:r w:rsidRPr="002B6F18">
        <w:rPr>
          <w:sz w:val="24"/>
          <w:szCs w:val="24"/>
        </w:rPr>
        <w:t>du moi</w:t>
      </w:r>
      <w:r w:rsidR="006D0E57" w:rsidRPr="002B6F18">
        <w:rPr>
          <w:sz w:val="24"/>
          <w:szCs w:val="24"/>
        </w:rPr>
        <w:t>s</w:t>
      </w:r>
      <w:r w:rsidRPr="002B6F18">
        <w:rPr>
          <w:sz w:val="24"/>
          <w:szCs w:val="24"/>
        </w:rPr>
        <w:t xml:space="preserve"> de Mai 2014 ont été</w:t>
      </w:r>
      <w:r w:rsidR="004E0FEA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</w:t>
      </w:r>
      <w:r w:rsidR="00551DC3" w:rsidRPr="002B6F18">
        <w:rPr>
          <w:sz w:val="24"/>
          <w:szCs w:val="24"/>
        </w:rPr>
        <w:t>respectivement</w:t>
      </w:r>
      <w:r w:rsidR="0068262D" w:rsidRPr="002B6F18">
        <w:rPr>
          <w:sz w:val="24"/>
          <w:szCs w:val="24"/>
        </w:rPr>
        <w:t>,</w:t>
      </w:r>
      <w:r w:rsidR="00551DC3" w:rsidRPr="002B6F18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>de 99</w:t>
      </w:r>
      <w:r w:rsidR="00551DC3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8 </w:t>
      </w:r>
      <w:r w:rsidR="00551DC3" w:rsidRPr="002B6F18">
        <w:rPr>
          <w:sz w:val="24"/>
          <w:szCs w:val="24"/>
        </w:rPr>
        <w:t>et 94,5 p.c. des prévisions de ce mois</w:t>
      </w:r>
      <w:r w:rsidRPr="002B6F18">
        <w:rPr>
          <w:sz w:val="24"/>
          <w:szCs w:val="24"/>
        </w:rPr>
        <w:t>.</w:t>
      </w:r>
    </w:p>
    <w:p w:rsidR="0074223C" w:rsidRPr="002B6F18" w:rsidRDefault="0074223C" w:rsidP="00C63362">
      <w:pPr>
        <w:pStyle w:val="Titre2"/>
        <w:spacing w:after="120"/>
        <w:rPr>
          <w:rFonts w:ascii="Calibri" w:hAnsi="Calibri"/>
          <w:b w:val="0"/>
          <w:color w:val="00B0F0"/>
          <w:sz w:val="24"/>
          <w:szCs w:val="24"/>
        </w:rPr>
      </w:pPr>
      <w:bookmarkStart w:id="9" w:name="_Toc393361853"/>
      <w:r w:rsidRPr="002B6F18">
        <w:rPr>
          <w:rFonts w:ascii="Calibri" w:hAnsi="Calibri"/>
          <w:color w:val="00B0F0"/>
          <w:sz w:val="24"/>
          <w:szCs w:val="24"/>
        </w:rPr>
        <w:t>Dépenses</w:t>
      </w:r>
      <w:bookmarkEnd w:id="9"/>
    </w:p>
    <w:p w:rsidR="007A31EC" w:rsidRPr="002B6F18" w:rsidRDefault="003822B2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Les dépenses totales engagées jusqu’au mois de Mai</w:t>
      </w:r>
      <w:r w:rsidR="0074223C" w:rsidRPr="002B6F18">
        <w:rPr>
          <w:sz w:val="24"/>
          <w:szCs w:val="24"/>
        </w:rPr>
        <w:t xml:space="preserve"> 201</w:t>
      </w:r>
      <w:r w:rsidR="007841E6" w:rsidRPr="002B6F18">
        <w:rPr>
          <w:sz w:val="24"/>
          <w:szCs w:val="24"/>
        </w:rPr>
        <w:t>4</w:t>
      </w:r>
      <w:r w:rsidRPr="002B6F18">
        <w:rPr>
          <w:sz w:val="24"/>
          <w:szCs w:val="24"/>
        </w:rPr>
        <w:t xml:space="preserve"> s</w:t>
      </w:r>
      <w:r w:rsidR="007A31EC" w:rsidRPr="002B6F18">
        <w:rPr>
          <w:sz w:val="24"/>
          <w:szCs w:val="24"/>
        </w:rPr>
        <w:t>e sont élevées</w:t>
      </w:r>
      <w:r w:rsidR="00C967CA" w:rsidRPr="002B6F18">
        <w:rPr>
          <w:sz w:val="24"/>
          <w:szCs w:val="24"/>
        </w:rPr>
        <w:t xml:space="preserve"> à</w:t>
      </w:r>
      <w:r w:rsidRPr="002B6F18">
        <w:rPr>
          <w:sz w:val="24"/>
          <w:szCs w:val="24"/>
        </w:rPr>
        <w:t xml:space="preserve"> 454.8</w:t>
      </w:r>
      <w:r w:rsidR="00F047D3" w:rsidRPr="002B6F18">
        <w:rPr>
          <w:sz w:val="24"/>
          <w:szCs w:val="24"/>
        </w:rPr>
        <w:t>18,0</w:t>
      </w:r>
      <w:r w:rsidR="00C967CA" w:rsidRPr="002B6F18">
        <w:rPr>
          <w:sz w:val="24"/>
          <w:szCs w:val="24"/>
        </w:rPr>
        <w:t xml:space="preserve"> MBIF</w:t>
      </w:r>
      <w:r w:rsidR="00F047D3" w:rsidRPr="002B6F18">
        <w:rPr>
          <w:sz w:val="24"/>
          <w:szCs w:val="24"/>
        </w:rPr>
        <w:t xml:space="preserve"> </w:t>
      </w:r>
      <w:r w:rsidR="00C967CA" w:rsidRPr="002B6F18">
        <w:rPr>
          <w:sz w:val="24"/>
          <w:szCs w:val="24"/>
        </w:rPr>
        <w:t xml:space="preserve">contre 347. 951,5 MBIF </w:t>
      </w:r>
      <w:r w:rsidR="007A31EC" w:rsidRPr="002B6F18">
        <w:rPr>
          <w:sz w:val="24"/>
          <w:szCs w:val="24"/>
        </w:rPr>
        <w:t>au cours de la</w:t>
      </w:r>
      <w:r w:rsidR="00C967CA" w:rsidRPr="002B6F18">
        <w:rPr>
          <w:sz w:val="24"/>
          <w:szCs w:val="24"/>
        </w:rPr>
        <w:t xml:space="preserve"> période </w:t>
      </w:r>
      <w:r w:rsidR="007A31EC" w:rsidRPr="002B6F18">
        <w:rPr>
          <w:sz w:val="24"/>
          <w:szCs w:val="24"/>
        </w:rPr>
        <w:t xml:space="preserve">correspondante </w:t>
      </w:r>
      <w:r w:rsidR="00C967CA" w:rsidRPr="002B6F18">
        <w:rPr>
          <w:sz w:val="24"/>
          <w:szCs w:val="24"/>
        </w:rPr>
        <w:t>de 201</w:t>
      </w:r>
      <w:r w:rsidR="004E0FEA" w:rsidRPr="002B6F18">
        <w:rPr>
          <w:sz w:val="24"/>
          <w:szCs w:val="24"/>
        </w:rPr>
        <w:t>3</w:t>
      </w:r>
      <w:r w:rsidR="00F3123F" w:rsidRPr="002B6F18">
        <w:rPr>
          <w:sz w:val="24"/>
          <w:szCs w:val="24"/>
        </w:rPr>
        <w:t xml:space="preserve">. </w:t>
      </w:r>
    </w:p>
    <w:p w:rsidR="00F3123F" w:rsidRPr="002B6F18" w:rsidRDefault="009A1302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Les</w:t>
      </w:r>
      <w:r w:rsidR="0074223C" w:rsidRPr="002B6F18">
        <w:rPr>
          <w:sz w:val="24"/>
          <w:szCs w:val="24"/>
        </w:rPr>
        <w:t xml:space="preserve"> dépenses de personnel cumulées </w:t>
      </w:r>
      <w:r w:rsidRPr="002B6F18">
        <w:rPr>
          <w:sz w:val="24"/>
          <w:szCs w:val="24"/>
        </w:rPr>
        <w:t xml:space="preserve">se sont établies à </w:t>
      </w:r>
      <w:r w:rsidR="001D4B68" w:rsidRPr="002B6F18">
        <w:rPr>
          <w:sz w:val="24"/>
          <w:szCs w:val="24"/>
        </w:rPr>
        <w:t>128.956,7</w:t>
      </w:r>
      <w:r w:rsidR="00F634B9" w:rsidRPr="002B6F18">
        <w:rPr>
          <w:sz w:val="24"/>
          <w:szCs w:val="24"/>
        </w:rPr>
        <w:t xml:space="preserve"> MBIF, soit </w:t>
      </w:r>
      <w:r w:rsidR="00F3123F" w:rsidRPr="002B6F18">
        <w:rPr>
          <w:sz w:val="24"/>
          <w:szCs w:val="24"/>
        </w:rPr>
        <w:t>28</w:t>
      </w:r>
      <w:r w:rsidR="00C967CA" w:rsidRPr="002B6F18">
        <w:rPr>
          <w:sz w:val="24"/>
          <w:szCs w:val="24"/>
        </w:rPr>
        <w:t>,</w:t>
      </w:r>
      <w:r w:rsidR="00F3123F" w:rsidRPr="002B6F18">
        <w:rPr>
          <w:sz w:val="24"/>
          <w:szCs w:val="24"/>
        </w:rPr>
        <w:t>4 p.c. des dépenses</w:t>
      </w:r>
      <w:r w:rsidR="00C967CA" w:rsidRPr="002B6F18">
        <w:rPr>
          <w:sz w:val="24"/>
          <w:szCs w:val="24"/>
        </w:rPr>
        <w:t xml:space="preserve"> totales et</w:t>
      </w:r>
      <w:r w:rsidR="00F3123F" w:rsidRPr="002B6F18">
        <w:rPr>
          <w:sz w:val="24"/>
          <w:szCs w:val="24"/>
        </w:rPr>
        <w:t xml:space="preserve"> 41</w:t>
      </w:r>
      <w:r w:rsidR="00C967CA" w:rsidRPr="002B6F18">
        <w:rPr>
          <w:sz w:val="24"/>
          <w:szCs w:val="24"/>
        </w:rPr>
        <w:t>,</w:t>
      </w:r>
      <w:r w:rsidR="00F3123F" w:rsidRPr="002B6F18">
        <w:rPr>
          <w:sz w:val="24"/>
          <w:szCs w:val="24"/>
        </w:rPr>
        <w:t xml:space="preserve">5 p.c. des dépenses de fonctionnement de l’Etat. </w:t>
      </w:r>
    </w:p>
    <w:p w:rsidR="00FA10C6" w:rsidRPr="002B6F18" w:rsidRDefault="00FA10C6" w:rsidP="00C63362">
      <w:pPr>
        <w:pStyle w:val="Titre2"/>
        <w:spacing w:after="120"/>
        <w:rPr>
          <w:rFonts w:ascii="Calibri" w:hAnsi="Calibri"/>
          <w:b w:val="0"/>
          <w:color w:val="00B0F0"/>
          <w:sz w:val="24"/>
          <w:szCs w:val="24"/>
        </w:rPr>
      </w:pPr>
      <w:bookmarkStart w:id="10" w:name="_Toc393361854"/>
      <w:r w:rsidRPr="002B6F18">
        <w:rPr>
          <w:rFonts w:ascii="Calibri" w:hAnsi="Calibri"/>
          <w:color w:val="00B0F0"/>
          <w:sz w:val="24"/>
          <w:szCs w:val="24"/>
        </w:rPr>
        <w:t>Dette publique</w:t>
      </w:r>
      <w:bookmarkEnd w:id="10"/>
    </w:p>
    <w:p w:rsidR="007A31EC" w:rsidRPr="002B6F18" w:rsidRDefault="00382BDC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La dynamique de la dette publique montre une tendance à la hausse</w:t>
      </w:r>
      <w:r w:rsidR="004E0FEA" w:rsidRPr="002B6F18">
        <w:rPr>
          <w:sz w:val="24"/>
          <w:szCs w:val="24"/>
        </w:rPr>
        <w:t> ;</w:t>
      </w:r>
      <w:r w:rsidR="00D15BBD" w:rsidRPr="002B6F18">
        <w:rPr>
          <w:sz w:val="24"/>
          <w:szCs w:val="24"/>
        </w:rPr>
        <w:t xml:space="preserve"> elle</w:t>
      </w:r>
      <w:r w:rsidRPr="002B6F18">
        <w:rPr>
          <w:sz w:val="24"/>
          <w:szCs w:val="24"/>
        </w:rPr>
        <w:t xml:space="preserve"> a progressé de 13,0 p.c.</w:t>
      </w:r>
      <w:r w:rsidR="004E0FEA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</w:t>
      </w:r>
      <w:r w:rsidR="00D15BBD" w:rsidRPr="002B6F18">
        <w:rPr>
          <w:sz w:val="24"/>
          <w:szCs w:val="24"/>
        </w:rPr>
        <w:t>passant de 1.157.761,6 à 1.308.783,2 MBIF</w:t>
      </w:r>
      <w:r w:rsidR="00A561DE" w:rsidRPr="002B6F18">
        <w:rPr>
          <w:sz w:val="24"/>
          <w:szCs w:val="24"/>
        </w:rPr>
        <w:t xml:space="preserve">. </w:t>
      </w:r>
    </w:p>
    <w:p w:rsidR="00ED3C4D" w:rsidRPr="002B6F18" w:rsidRDefault="00ED3C4D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</w:t>
      </w:r>
      <w:r w:rsidR="00382BDC" w:rsidRPr="002B6F18">
        <w:rPr>
          <w:sz w:val="24"/>
          <w:szCs w:val="24"/>
        </w:rPr>
        <w:t>a dette publique</w:t>
      </w:r>
      <w:r w:rsidR="001843CB" w:rsidRPr="002B6F18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>extérieure</w:t>
      </w:r>
      <w:r w:rsidR="001843CB" w:rsidRPr="002B6F18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 xml:space="preserve">a </w:t>
      </w:r>
      <w:r w:rsidR="001843CB" w:rsidRPr="002B6F18">
        <w:rPr>
          <w:sz w:val="24"/>
          <w:szCs w:val="24"/>
        </w:rPr>
        <w:t xml:space="preserve">augmenté de </w:t>
      </w:r>
      <w:r w:rsidRPr="002B6F18">
        <w:rPr>
          <w:sz w:val="24"/>
          <w:szCs w:val="24"/>
        </w:rPr>
        <w:t xml:space="preserve">9,7 </w:t>
      </w:r>
      <w:r w:rsidR="007A31EC" w:rsidRPr="002B6F18">
        <w:rPr>
          <w:sz w:val="24"/>
          <w:szCs w:val="24"/>
        </w:rPr>
        <w:t>p.c.</w:t>
      </w:r>
      <w:r w:rsidRPr="002B6F18">
        <w:rPr>
          <w:sz w:val="24"/>
          <w:szCs w:val="24"/>
        </w:rPr>
        <w:t xml:space="preserve">, au moment où la dette publique intérieure a progressé de </w:t>
      </w:r>
      <w:r w:rsidR="00BC2A16" w:rsidRPr="002B6F18">
        <w:rPr>
          <w:sz w:val="24"/>
          <w:szCs w:val="24"/>
        </w:rPr>
        <w:t>1</w:t>
      </w:r>
      <w:r w:rsidR="0045254C" w:rsidRPr="002B6F18">
        <w:rPr>
          <w:sz w:val="24"/>
          <w:szCs w:val="24"/>
        </w:rPr>
        <w:t>6</w:t>
      </w:r>
      <w:r w:rsidR="00653F65" w:rsidRPr="002B6F18">
        <w:rPr>
          <w:sz w:val="24"/>
          <w:szCs w:val="24"/>
        </w:rPr>
        <w:t>,</w:t>
      </w:r>
      <w:r w:rsidR="0045254C" w:rsidRPr="002B6F18">
        <w:rPr>
          <w:sz w:val="24"/>
          <w:szCs w:val="24"/>
        </w:rPr>
        <w:t>7</w:t>
      </w:r>
      <w:r w:rsidR="00653F65" w:rsidRPr="002B6F18">
        <w:rPr>
          <w:sz w:val="24"/>
          <w:szCs w:val="24"/>
        </w:rPr>
        <w:t xml:space="preserve"> </w:t>
      </w:r>
      <w:r w:rsidR="001140B7" w:rsidRPr="002B6F18">
        <w:rPr>
          <w:sz w:val="24"/>
          <w:szCs w:val="24"/>
        </w:rPr>
        <w:t>p.c.</w:t>
      </w:r>
      <w:r w:rsidRPr="002B6F18">
        <w:rPr>
          <w:sz w:val="24"/>
          <w:szCs w:val="24"/>
        </w:rPr>
        <w:t>,</w:t>
      </w:r>
      <w:r w:rsidR="00653F65" w:rsidRPr="002B6F18">
        <w:rPr>
          <w:sz w:val="24"/>
          <w:szCs w:val="24"/>
        </w:rPr>
        <w:t xml:space="preserve"> </w:t>
      </w:r>
      <w:r w:rsidR="00F047D3" w:rsidRPr="002B6F18">
        <w:rPr>
          <w:sz w:val="24"/>
          <w:szCs w:val="24"/>
        </w:rPr>
        <w:t xml:space="preserve">traduisant un recours </w:t>
      </w:r>
      <w:r w:rsidR="000E563A" w:rsidRPr="002B6F18">
        <w:rPr>
          <w:sz w:val="24"/>
          <w:szCs w:val="24"/>
        </w:rPr>
        <w:t>accru</w:t>
      </w:r>
      <w:r w:rsidR="00F047D3" w:rsidRPr="002B6F18">
        <w:rPr>
          <w:sz w:val="24"/>
          <w:szCs w:val="24"/>
        </w:rPr>
        <w:t xml:space="preserve"> </w:t>
      </w:r>
      <w:r w:rsidR="00A44CB6" w:rsidRPr="002B6F18">
        <w:rPr>
          <w:sz w:val="24"/>
          <w:szCs w:val="24"/>
        </w:rPr>
        <w:t xml:space="preserve">du </w:t>
      </w:r>
      <w:r w:rsidR="004605E2" w:rsidRPr="002B6F18">
        <w:rPr>
          <w:sz w:val="24"/>
          <w:szCs w:val="24"/>
        </w:rPr>
        <w:t>Trésor</w:t>
      </w:r>
      <w:r w:rsidR="00A44CB6" w:rsidRPr="002B6F18">
        <w:rPr>
          <w:sz w:val="24"/>
          <w:szCs w:val="24"/>
        </w:rPr>
        <w:t xml:space="preserve"> </w:t>
      </w:r>
      <w:r w:rsidR="00F047D3" w:rsidRPr="002B6F18">
        <w:rPr>
          <w:sz w:val="24"/>
          <w:szCs w:val="24"/>
        </w:rPr>
        <w:t xml:space="preserve">au financement </w:t>
      </w:r>
      <w:r w:rsidR="00F634B9" w:rsidRPr="002B6F18">
        <w:rPr>
          <w:sz w:val="24"/>
          <w:szCs w:val="24"/>
        </w:rPr>
        <w:t>intérieur</w:t>
      </w:r>
      <w:r w:rsidR="009246BF" w:rsidRPr="002B6F18">
        <w:rPr>
          <w:sz w:val="24"/>
          <w:szCs w:val="24"/>
        </w:rPr>
        <w:t>.</w:t>
      </w:r>
    </w:p>
    <w:p w:rsidR="00D726CA" w:rsidRPr="002B6F18" w:rsidRDefault="00D726CA" w:rsidP="00C63362">
      <w:pPr>
        <w:pStyle w:val="Titre3"/>
        <w:spacing w:after="120"/>
        <w:rPr>
          <w:rFonts w:ascii="Calibri" w:hAnsi="Calibri"/>
          <w:b w:val="0"/>
          <w:color w:val="00B0F0"/>
          <w:sz w:val="24"/>
          <w:szCs w:val="24"/>
        </w:rPr>
      </w:pPr>
      <w:bookmarkStart w:id="11" w:name="_Toc393361855"/>
      <w:r w:rsidRPr="002B6F18">
        <w:rPr>
          <w:rFonts w:ascii="Calibri" w:hAnsi="Calibri"/>
          <w:color w:val="00B0F0"/>
          <w:sz w:val="24"/>
          <w:szCs w:val="24"/>
        </w:rPr>
        <w:lastRenderedPageBreak/>
        <w:t>- Dette intérieure</w:t>
      </w:r>
      <w:bookmarkEnd w:id="11"/>
    </w:p>
    <w:p w:rsidR="000458A1" w:rsidRPr="002B6F18" w:rsidRDefault="007B2B8A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En glissement annuel</w:t>
      </w:r>
      <w:r w:rsidR="00D726CA" w:rsidRPr="002B6F18">
        <w:rPr>
          <w:sz w:val="24"/>
          <w:szCs w:val="24"/>
        </w:rPr>
        <w:t>, le stock de la dette</w:t>
      </w:r>
      <w:r w:rsidR="0053673D" w:rsidRPr="002B6F18">
        <w:rPr>
          <w:sz w:val="24"/>
          <w:szCs w:val="24"/>
        </w:rPr>
        <w:t xml:space="preserve"> publique</w:t>
      </w:r>
      <w:r w:rsidR="00D726CA" w:rsidRPr="002B6F18">
        <w:rPr>
          <w:sz w:val="24"/>
          <w:szCs w:val="24"/>
        </w:rPr>
        <w:t xml:space="preserve"> intérieure</w:t>
      </w:r>
      <w:r w:rsidR="005078F2" w:rsidRPr="002B6F18">
        <w:rPr>
          <w:sz w:val="24"/>
          <w:szCs w:val="24"/>
        </w:rPr>
        <w:t xml:space="preserve"> </w:t>
      </w:r>
      <w:r w:rsidR="00D726CA" w:rsidRPr="002B6F18">
        <w:rPr>
          <w:sz w:val="24"/>
          <w:szCs w:val="24"/>
        </w:rPr>
        <w:t xml:space="preserve">a </w:t>
      </w:r>
      <w:r w:rsidR="009C01FB" w:rsidRPr="002B6F18">
        <w:rPr>
          <w:sz w:val="24"/>
          <w:szCs w:val="24"/>
        </w:rPr>
        <w:t>progressé</w:t>
      </w:r>
      <w:r w:rsidR="00D726CA" w:rsidRPr="002B6F18">
        <w:rPr>
          <w:sz w:val="24"/>
          <w:szCs w:val="24"/>
        </w:rPr>
        <w:t xml:space="preserve"> de </w:t>
      </w:r>
      <w:r w:rsidR="00813A7E" w:rsidRPr="002B6F18">
        <w:rPr>
          <w:sz w:val="24"/>
          <w:szCs w:val="24"/>
        </w:rPr>
        <w:t>92</w:t>
      </w:r>
      <w:r w:rsidR="000238D8" w:rsidRPr="002B6F18">
        <w:rPr>
          <w:sz w:val="24"/>
          <w:szCs w:val="24"/>
        </w:rPr>
        <w:t>.</w:t>
      </w:r>
      <w:r w:rsidR="00813A7E" w:rsidRPr="002B6F18">
        <w:rPr>
          <w:sz w:val="24"/>
          <w:szCs w:val="24"/>
        </w:rPr>
        <w:t>308</w:t>
      </w:r>
      <w:r w:rsidR="00065C60" w:rsidRPr="002B6F18">
        <w:rPr>
          <w:sz w:val="24"/>
          <w:szCs w:val="24"/>
        </w:rPr>
        <w:t>,</w:t>
      </w:r>
      <w:r w:rsidR="00813A7E" w:rsidRPr="002B6F18">
        <w:rPr>
          <w:sz w:val="24"/>
          <w:szCs w:val="24"/>
        </w:rPr>
        <w:t>2</w:t>
      </w:r>
      <w:r w:rsidR="00E335ED" w:rsidRPr="002B6F18">
        <w:rPr>
          <w:sz w:val="24"/>
          <w:szCs w:val="24"/>
        </w:rPr>
        <w:t xml:space="preserve"> </w:t>
      </w:r>
      <w:r w:rsidR="00125428" w:rsidRPr="002B6F18">
        <w:rPr>
          <w:sz w:val="24"/>
          <w:szCs w:val="24"/>
        </w:rPr>
        <w:t xml:space="preserve">MBIF, </w:t>
      </w:r>
      <w:r w:rsidR="001D4B68" w:rsidRPr="002B6F18">
        <w:rPr>
          <w:sz w:val="24"/>
          <w:szCs w:val="24"/>
        </w:rPr>
        <w:t>passant de</w:t>
      </w:r>
      <w:r w:rsidR="00D726CA" w:rsidRPr="002B6F18">
        <w:rPr>
          <w:sz w:val="24"/>
          <w:szCs w:val="24"/>
        </w:rPr>
        <w:t xml:space="preserve"> </w:t>
      </w:r>
      <w:r w:rsidR="00222EB6" w:rsidRPr="002B6F18">
        <w:rPr>
          <w:sz w:val="24"/>
          <w:szCs w:val="24"/>
        </w:rPr>
        <w:t>5</w:t>
      </w:r>
      <w:r w:rsidR="00FB6FC2" w:rsidRPr="002B6F18">
        <w:rPr>
          <w:sz w:val="24"/>
          <w:szCs w:val="24"/>
        </w:rPr>
        <w:t>52</w:t>
      </w:r>
      <w:r w:rsidR="00D726CA" w:rsidRPr="002B6F18">
        <w:rPr>
          <w:sz w:val="24"/>
          <w:szCs w:val="24"/>
        </w:rPr>
        <w:t>.</w:t>
      </w:r>
      <w:r w:rsidR="00FB6FC2" w:rsidRPr="002B6F18">
        <w:rPr>
          <w:sz w:val="24"/>
          <w:szCs w:val="24"/>
        </w:rPr>
        <w:t>141</w:t>
      </w:r>
      <w:r w:rsidR="00727881" w:rsidRPr="002B6F18">
        <w:rPr>
          <w:sz w:val="24"/>
          <w:szCs w:val="24"/>
        </w:rPr>
        <w:t>,</w:t>
      </w:r>
      <w:r w:rsidR="00FB6FC2" w:rsidRPr="002B6F18">
        <w:rPr>
          <w:sz w:val="24"/>
          <w:szCs w:val="24"/>
        </w:rPr>
        <w:t>3</w:t>
      </w:r>
      <w:r w:rsidR="00D726CA" w:rsidRPr="002B6F18">
        <w:rPr>
          <w:sz w:val="24"/>
          <w:szCs w:val="24"/>
        </w:rPr>
        <w:t xml:space="preserve"> </w:t>
      </w:r>
      <w:r w:rsidR="001D4B68" w:rsidRPr="002B6F18">
        <w:rPr>
          <w:sz w:val="24"/>
          <w:szCs w:val="24"/>
        </w:rPr>
        <w:t>à</w:t>
      </w:r>
      <w:r w:rsidR="00D726CA" w:rsidRPr="002B6F18">
        <w:rPr>
          <w:sz w:val="24"/>
          <w:szCs w:val="24"/>
        </w:rPr>
        <w:t xml:space="preserve"> </w:t>
      </w:r>
      <w:r w:rsidR="00EB4C25" w:rsidRPr="002B6F18">
        <w:rPr>
          <w:sz w:val="24"/>
          <w:szCs w:val="24"/>
        </w:rPr>
        <w:t>6</w:t>
      </w:r>
      <w:r w:rsidR="00125428" w:rsidRPr="002B6F18">
        <w:rPr>
          <w:sz w:val="24"/>
          <w:szCs w:val="24"/>
        </w:rPr>
        <w:t>4</w:t>
      </w:r>
      <w:r w:rsidR="00FB6FC2" w:rsidRPr="002B6F18">
        <w:rPr>
          <w:sz w:val="24"/>
          <w:szCs w:val="24"/>
        </w:rPr>
        <w:t>4</w:t>
      </w:r>
      <w:r w:rsidR="00D726CA" w:rsidRPr="002B6F18">
        <w:rPr>
          <w:sz w:val="24"/>
          <w:szCs w:val="24"/>
        </w:rPr>
        <w:t>.</w:t>
      </w:r>
      <w:r w:rsidR="00125428" w:rsidRPr="002B6F18">
        <w:rPr>
          <w:sz w:val="24"/>
          <w:szCs w:val="24"/>
        </w:rPr>
        <w:t>4</w:t>
      </w:r>
      <w:r w:rsidR="00FB6FC2" w:rsidRPr="002B6F18">
        <w:rPr>
          <w:sz w:val="24"/>
          <w:szCs w:val="24"/>
        </w:rPr>
        <w:t>49</w:t>
      </w:r>
      <w:r w:rsidR="00D726CA" w:rsidRPr="002B6F18">
        <w:rPr>
          <w:sz w:val="24"/>
          <w:szCs w:val="24"/>
        </w:rPr>
        <w:t>,</w:t>
      </w:r>
      <w:r w:rsidR="00FB6FC2" w:rsidRPr="002B6F18">
        <w:rPr>
          <w:sz w:val="24"/>
          <w:szCs w:val="24"/>
        </w:rPr>
        <w:t>5</w:t>
      </w:r>
      <w:r w:rsidR="00D726CA" w:rsidRPr="002B6F18">
        <w:rPr>
          <w:sz w:val="24"/>
          <w:szCs w:val="24"/>
        </w:rPr>
        <w:t xml:space="preserve"> </w:t>
      </w:r>
      <w:r w:rsidR="001D4B68" w:rsidRPr="002B6F18">
        <w:rPr>
          <w:sz w:val="24"/>
          <w:szCs w:val="24"/>
        </w:rPr>
        <w:t>MBIF,</w:t>
      </w:r>
      <w:r w:rsidR="000A4040" w:rsidRPr="002B6F18">
        <w:rPr>
          <w:sz w:val="24"/>
          <w:szCs w:val="24"/>
        </w:rPr>
        <w:t xml:space="preserve"> </w:t>
      </w:r>
      <w:r w:rsidR="005078F2" w:rsidRPr="002B6F18">
        <w:rPr>
          <w:sz w:val="24"/>
          <w:szCs w:val="24"/>
        </w:rPr>
        <w:t>en liaison avec</w:t>
      </w:r>
      <w:r w:rsidR="00C97B62" w:rsidRPr="002B6F18">
        <w:rPr>
          <w:sz w:val="24"/>
          <w:szCs w:val="24"/>
        </w:rPr>
        <w:t xml:space="preserve"> </w:t>
      </w:r>
      <w:r w:rsidR="001365F5" w:rsidRPr="002B6F18">
        <w:rPr>
          <w:sz w:val="24"/>
          <w:szCs w:val="24"/>
        </w:rPr>
        <w:t xml:space="preserve">l’augmentation </w:t>
      </w:r>
      <w:r w:rsidR="000A4040" w:rsidRPr="002B6F18">
        <w:rPr>
          <w:sz w:val="24"/>
          <w:szCs w:val="24"/>
        </w:rPr>
        <w:t>de l’endettement de l’</w:t>
      </w:r>
      <w:r w:rsidR="00D726CA" w:rsidRPr="002B6F18">
        <w:rPr>
          <w:sz w:val="24"/>
          <w:szCs w:val="24"/>
        </w:rPr>
        <w:t>Etat</w:t>
      </w:r>
      <w:r w:rsidR="006B2E39" w:rsidRPr="002B6F18">
        <w:rPr>
          <w:sz w:val="24"/>
          <w:szCs w:val="24"/>
        </w:rPr>
        <w:t xml:space="preserve"> vis-à-vis du secteur bancaire (+</w:t>
      </w:r>
      <w:r w:rsidR="009D5317" w:rsidRPr="002B6F18">
        <w:rPr>
          <w:sz w:val="24"/>
          <w:szCs w:val="24"/>
        </w:rPr>
        <w:t>73</w:t>
      </w:r>
      <w:r w:rsidR="00E335ED" w:rsidRPr="002B6F18">
        <w:rPr>
          <w:sz w:val="24"/>
          <w:szCs w:val="24"/>
        </w:rPr>
        <w:t>.</w:t>
      </w:r>
      <w:r w:rsidR="009D5317" w:rsidRPr="002B6F18">
        <w:rPr>
          <w:sz w:val="24"/>
          <w:szCs w:val="24"/>
        </w:rPr>
        <w:t>314</w:t>
      </w:r>
      <w:r w:rsidR="00BA29D7" w:rsidRPr="002B6F18">
        <w:rPr>
          <w:sz w:val="24"/>
          <w:szCs w:val="24"/>
        </w:rPr>
        <w:t>,</w:t>
      </w:r>
      <w:r w:rsidR="009D5317" w:rsidRPr="002B6F18">
        <w:rPr>
          <w:sz w:val="24"/>
          <w:szCs w:val="24"/>
        </w:rPr>
        <w:t>2</w:t>
      </w:r>
      <w:r w:rsidR="00BF0DD2" w:rsidRPr="002B6F18">
        <w:rPr>
          <w:sz w:val="24"/>
          <w:szCs w:val="24"/>
        </w:rPr>
        <w:t xml:space="preserve"> MBIF</w:t>
      </w:r>
      <w:r w:rsidR="006B2E39" w:rsidRPr="002B6F18">
        <w:rPr>
          <w:sz w:val="24"/>
          <w:szCs w:val="24"/>
        </w:rPr>
        <w:t xml:space="preserve">) </w:t>
      </w:r>
      <w:r w:rsidR="00832021" w:rsidRPr="002B6F18">
        <w:rPr>
          <w:sz w:val="24"/>
          <w:szCs w:val="24"/>
        </w:rPr>
        <w:t xml:space="preserve">et </w:t>
      </w:r>
      <w:r w:rsidR="00677D22" w:rsidRPr="002B6F18">
        <w:rPr>
          <w:sz w:val="24"/>
          <w:szCs w:val="24"/>
        </w:rPr>
        <w:t>non bancaire (</w:t>
      </w:r>
      <w:r w:rsidR="00832021" w:rsidRPr="002B6F18">
        <w:rPr>
          <w:sz w:val="24"/>
          <w:szCs w:val="24"/>
        </w:rPr>
        <w:t>+1</w:t>
      </w:r>
      <w:r w:rsidR="001D4B68" w:rsidRPr="002B6F18">
        <w:rPr>
          <w:sz w:val="24"/>
          <w:szCs w:val="24"/>
        </w:rPr>
        <w:t>8</w:t>
      </w:r>
      <w:r w:rsidR="00BF0DD2" w:rsidRPr="002B6F18">
        <w:rPr>
          <w:sz w:val="24"/>
          <w:szCs w:val="24"/>
        </w:rPr>
        <w:t>.</w:t>
      </w:r>
      <w:r w:rsidR="001D4B68" w:rsidRPr="002B6F18">
        <w:rPr>
          <w:sz w:val="24"/>
          <w:szCs w:val="24"/>
        </w:rPr>
        <w:t>994</w:t>
      </w:r>
      <w:r w:rsidR="00BF0DD2" w:rsidRPr="002B6F18">
        <w:rPr>
          <w:sz w:val="24"/>
          <w:szCs w:val="24"/>
        </w:rPr>
        <w:t>,</w:t>
      </w:r>
      <w:r w:rsidR="009D5317" w:rsidRPr="002B6F18">
        <w:rPr>
          <w:sz w:val="24"/>
          <w:szCs w:val="24"/>
        </w:rPr>
        <w:t>0</w:t>
      </w:r>
      <w:r w:rsidR="00677D22" w:rsidRPr="002B6F18">
        <w:rPr>
          <w:sz w:val="24"/>
          <w:szCs w:val="24"/>
        </w:rPr>
        <w:t xml:space="preserve"> MBIF)</w:t>
      </w:r>
      <w:r w:rsidR="00D726CA" w:rsidRPr="002B6F18">
        <w:rPr>
          <w:sz w:val="24"/>
          <w:szCs w:val="24"/>
        </w:rPr>
        <w:t xml:space="preserve">. </w:t>
      </w:r>
    </w:p>
    <w:p w:rsidR="000A4040" w:rsidRPr="002B6F18" w:rsidRDefault="00D418B1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</w:t>
      </w:r>
      <w:r w:rsidR="00376723" w:rsidRPr="002B6F18">
        <w:rPr>
          <w:sz w:val="24"/>
          <w:szCs w:val="24"/>
        </w:rPr>
        <w:t>a progression de l’endettement de l’Etat</w:t>
      </w:r>
      <w:r w:rsidRPr="002B6F18">
        <w:rPr>
          <w:sz w:val="24"/>
          <w:szCs w:val="24"/>
        </w:rPr>
        <w:t xml:space="preserve"> envers le secteur bancaire</w:t>
      </w:r>
      <w:r w:rsidR="00975523" w:rsidRPr="002B6F18">
        <w:rPr>
          <w:sz w:val="24"/>
          <w:szCs w:val="24"/>
        </w:rPr>
        <w:t xml:space="preserve"> </w:t>
      </w:r>
      <w:r w:rsidR="00376723" w:rsidRPr="002B6F18">
        <w:rPr>
          <w:sz w:val="24"/>
          <w:szCs w:val="24"/>
        </w:rPr>
        <w:t xml:space="preserve">a </w:t>
      </w:r>
      <w:r w:rsidR="00B31C94" w:rsidRPr="002B6F18">
        <w:rPr>
          <w:sz w:val="24"/>
          <w:szCs w:val="24"/>
        </w:rPr>
        <w:t>concerné les</w:t>
      </w:r>
      <w:r w:rsidR="001365F5" w:rsidRPr="002B6F18">
        <w:rPr>
          <w:sz w:val="24"/>
          <w:szCs w:val="24"/>
        </w:rPr>
        <w:t xml:space="preserve"> engagements envers </w:t>
      </w:r>
      <w:r w:rsidR="00160773" w:rsidRPr="002B6F18">
        <w:rPr>
          <w:sz w:val="24"/>
          <w:szCs w:val="24"/>
        </w:rPr>
        <w:t xml:space="preserve">les banques commerciales </w:t>
      </w:r>
      <w:r w:rsidR="001365F5" w:rsidRPr="002B6F18">
        <w:rPr>
          <w:sz w:val="24"/>
          <w:szCs w:val="24"/>
        </w:rPr>
        <w:t>(</w:t>
      </w:r>
      <w:r w:rsidR="009162FA" w:rsidRPr="002B6F18">
        <w:rPr>
          <w:sz w:val="24"/>
          <w:szCs w:val="24"/>
        </w:rPr>
        <w:t>+</w:t>
      </w:r>
      <w:r w:rsidR="009D5317" w:rsidRPr="002B6F18">
        <w:rPr>
          <w:sz w:val="24"/>
          <w:szCs w:val="24"/>
        </w:rPr>
        <w:t>61</w:t>
      </w:r>
      <w:r w:rsidR="005D6375" w:rsidRPr="002B6F18">
        <w:rPr>
          <w:sz w:val="24"/>
          <w:szCs w:val="24"/>
        </w:rPr>
        <w:t>.</w:t>
      </w:r>
      <w:r w:rsidR="009D5317" w:rsidRPr="002B6F18">
        <w:rPr>
          <w:sz w:val="24"/>
          <w:szCs w:val="24"/>
        </w:rPr>
        <w:t>391</w:t>
      </w:r>
      <w:r w:rsidR="009162FA" w:rsidRPr="002B6F18">
        <w:rPr>
          <w:sz w:val="24"/>
          <w:szCs w:val="24"/>
        </w:rPr>
        <w:t>,</w:t>
      </w:r>
      <w:r w:rsidR="009D5317" w:rsidRPr="002B6F18">
        <w:rPr>
          <w:sz w:val="24"/>
          <w:szCs w:val="24"/>
        </w:rPr>
        <w:t>6</w:t>
      </w:r>
      <w:r w:rsidR="00975523" w:rsidRPr="002B6F18">
        <w:rPr>
          <w:sz w:val="24"/>
          <w:szCs w:val="24"/>
        </w:rPr>
        <w:t xml:space="preserve"> </w:t>
      </w:r>
      <w:r w:rsidR="009162FA" w:rsidRPr="002B6F18">
        <w:rPr>
          <w:sz w:val="24"/>
          <w:szCs w:val="24"/>
        </w:rPr>
        <w:t>MBIF)</w:t>
      </w:r>
      <w:r w:rsidR="00A23A10" w:rsidRPr="002B6F18">
        <w:rPr>
          <w:sz w:val="24"/>
          <w:szCs w:val="24"/>
        </w:rPr>
        <w:t xml:space="preserve"> </w:t>
      </w:r>
      <w:r w:rsidR="009D5317" w:rsidRPr="002B6F18">
        <w:rPr>
          <w:sz w:val="24"/>
          <w:szCs w:val="24"/>
        </w:rPr>
        <w:t>et</w:t>
      </w:r>
      <w:r w:rsidR="00975523" w:rsidRPr="002B6F18">
        <w:rPr>
          <w:sz w:val="24"/>
          <w:szCs w:val="24"/>
        </w:rPr>
        <w:t xml:space="preserve"> </w:t>
      </w:r>
      <w:r w:rsidR="00160773" w:rsidRPr="002B6F18">
        <w:rPr>
          <w:sz w:val="24"/>
          <w:szCs w:val="24"/>
        </w:rPr>
        <w:t>la Banque Centrale</w:t>
      </w:r>
      <w:r w:rsidR="009B6A05" w:rsidRPr="002B6F18">
        <w:rPr>
          <w:sz w:val="24"/>
          <w:szCs w:val="24"/>
        </w:rPr>
        <w:t xml:space="preserve"> (</w:t>
      </w:r>
      <w:r w:rsidR="009D5317" w:rsidRPr="002B6F18">
        <w:rPr>
          <w:sz w:val="24"/>
          <w:szCs w:val="24"/>
        </w:rPr>
        <w:t>+9</w:t>
      </w:r>
      <w:r w:rsidR="000A5B76" w:rsidRPr="002B6F18">
        <w:rPr>
          <w:sz w:val="24"/>
          <w:szCs w:val="24"/>
        </w:rPr>
        <w:t>.</w:t>
      </w:r>
      <w:r w:rsidR="009D5317" w:rsidRPr="002B6F18">
        <w:rPr>
          <w:sz w:val="24"/>
          <w:szCs w:val="24"/>
        </w:rPr>
        <w:t>592</w:t>
      </w:r>
      <w:r w:rsidR="009B6A05" w:rsidRPr="002B6F18">
        <w:rPr>
          <w:sz w:val="24"/>
          <w:szCs w:val="24"/>
        </w:rPr>
        <w:t>,</w:t>
      </w:r>
      <w:r w:rsidR="00FF5B01" w:rsidRPr="002B6F18">
        <w:rPr>
          <w:sz w:val="24"/>
          <w:szCs w:val="24"/>
        </w:rPr>
        <w:t>3</w:t>
      </w:r>
      <w:r w:rsidR="009B6A05" w:rsidRPr="002B6F18">
        <w:rPr>
          <w:sz w:val="24"/>
          <w:szCs w:val="24"/>
        </w:rPr>
        <w:t xml:space="preserve"> MBIF).</w:t>
      </w:r>
      <w:r w:rsidR="0075436B" w:rsidRPr="002B6F18">
        <w:rPr>
          <w:sz w:val="24"/>
          <w:szCs w:val="24"/>
        </w:rPr>
        <w:t xml:space="preserve"> </w:t>
      </w:r>
      <w:r w:rsidR="0038466C" w:rsidRPr="002B6F18">
        <w:rPr>
          <w:sz w:val="24"/>
          <w:szCs w:val="24"/>
        </w:rPr>
        <w:t>L</w:t>
      </w:r>
      <w:r w:rsidR="00975523" w:rsidRPr="002B6F18">
        <w:rPr>
          <w:sz w:val="24"/>
          <w:szCs w:val="24"/>
        </w:rPr>
        <w:t>’</w:t>
      </w:r>
      <w:r w:rsidR="005078F2" w:rsidRPr="002B6F18">
        <w:rPr>
          <w:sz w:val="24"/>
          <w:szCs w:val="24"/>
        </w:rPr>
        <w:t>endettement</w:t>
      </w:r>
      <w:r w:rsidR="0038466C" w:rsidRPr="002B6F18">
        <w:rPr>
          <w:sz w:val="24"/>
          <w:szCs w:val="24"/>
        </w:rPr>
        <w:t xml:space="preserve"> de l’Etat envers le secteur non bancaire</w:t>
      </w:r>
      <w:r w:rsidR="005078F2" w:rsidRPr="002B6F18">
        <w:rPr>
          <w:sz w:val="24"/>
          <w:szCs w:val="24"/>
        </w:rPr>
        <w:t xml:space="preserve"> a </w:t>
      </w:r>
      <w:r w:rsidR="0038466C" w:rsidRPr="002B6F18">
        <w:rPr>
          <w:sz w:val="24"/>
          <w:szCs w:val="24"/>
        </w:rPr>
        <w:t>port</w:t>
      </w:r>
      <w:r w:rsidR="005078F2" w:rsidRPr="002B6F18">
        <w:rPr>
          <w:sz w:val="24"/>
          <w:szCs w:val="24"/>
        </w:rPr>
        <w:t>é</w:t>
      </w:r>
      <w:r w:rsidR="001140B7" w:rsidRPr="002B6F18">
        <w:rPr>
          <w:sz w:val="24"/>
          <w:szCs w:val="24"/>
        </w:rPr>
        <w:t xml:space="preserve"> sur</w:t>
      </w:r>
      <w:r w:rsidR="00B31C94" w:rsidRPr="002B6F18">
        <w:rPr>
          <w:sz w:val="24"/>
          <w:szCs w:val="24"/>
        </w:rPr>
        <w:t xml:space="preserve"> </w:t>
      </w:r>
      <w:r w:rsidR="0038466C" w:rsidRPr="002B6F18">
        <w:rPr>
          <w:sz w:val="24"/>
          <w:szCs w:val="24"/>
        </w:rPr>
        <w:t>les</w:t>
      </w:r>
      <w:r w:rsidR="005078F2" w:rsidRPr="002B6F18">
        <w:rPr>
          <w:sz w:val="24"/>
          <w:szCs w:val="24"/>
        </w:rPr>
        <w:t xml:space="preserve"> </w:t>
      </w:r>
      <w:r w:rsidR="0088493D" w:rsidRPr="002B6F18">
        <w:rPr>
          <w:sz w:val="24"/>
          <w:szCs w:val="24"/>
        </w:rPr>
        <w:t xml:space="preserve">bons et obligations du </w:t>
      </w:r>
      <w:r w:rsidR="00ED3C4D" w:rsidRPr="002B6F18">
        <w:rPr>
          <w:sz w:val="24"/>
          <w:szCs w:val="24"/>
        </w:rPr>
        <w:t>T</w:t>
      </w:r>
      <w:r w:rsidR="0088493D" w:rsidRPr="002B6F18">
        <w:rPr>
          <w:sz w:val="24"/>
          <w:szCs w:val="24"/>
        </w:rPr>
        <w:t>résor</w:t>
      </w:r>
      <w:r w:rsidR="005078F2" w:rsidRPr="002B6F18">
        <w:rPr>
          <w:sz w:val="24"/>
          <w:szCs w:val="24"/>
        </w:rPr>
        <w:t xml:space="preserve"> (</w:t>
      </w:r>
      <w:r w:rsidR="0088493D" w:rsidRPr="002B6F18">
        <w:rPr>
          <w:sz w:val="24"/>
          <w:szCs w:val="24"/>
        </w:rPr>
        <w:t>+1</w:t>
      </w:r>
      <w:r w:rsidR="00876FA7" w:rsidRPr="002B6F18">
        <w:rPr>
          <w:sz w:val="24"/>
          <w:szCs w:val="24"/>
        </w:rPr>
        <w:t>9</w:t>
      </w:r>
      <w:r w:rsidR="005078F2" w:rsidRPr="002B6F18">
        <w:rPr>
          <w:sz w:val="24"/>
          <w:szCs w:val="24"/>
        </w:rPr>
        <w:t>.</w:t>
      </w:r>
      <w:r w:rsidR="00876FA7" w:rsidRPr="002B6F18">
        <w:rPr>
          <w:sz w:val="24"/>
          <w:szCs w:val="24"/>
        </w:rPr>
        <w:t>321</w:t>
      </w:r>
      <w:r w:rsidR="005078F2" w:rsidRPr="002B6F18">
        <w:rPr>
          <w:sz w:val="24"/>
          <w:szCs w:val="24"/>
        </w:rPr>
        <w:t>,</w:t>
      </w:r>
      <w:r w:rsidR="00876FA7" w:rsidRPr="002B6F18">
        <w:rPr>
          <w:sz w:val="24"/>
          <w:szCs w:val="24"/>
        </w:rPr>
        <w:t>0</w:t>
      </w:r>
      <w:r w:rsidR="005078F2" w:rsidRPr="002B6F18">
        <w:rPr>
          <w:sz w:val="24"/>
          <w:szCs w:val="24"/>
        </w:rPr>
        <w:t xml:space="preserve"> MBIF)</w:t>
      </w:r>
      <w:r w:rsidR="00B9687E" w:rsidRPr="002B6F18">
        <w:rPr>
          <w:sz w:val="24"/>
          <w:szCs w:val="24"/>
        </w:rPr>
        <w:t>.</w:t>
      </w:r>
      <w:r w:rsidR="0075436B" w:rsidRPr="002B6F18">
        <w:rPr>
          <w:sz w:val="24"/>
          <w:szCs w:val="24"/>
        </w:rPr>
        <w:t xml:space="preserve"> </w:t>
      </w:r>
    </w:p>
    <w:p w:rsidR="00275DCD" w:rsidRPr="002B6F18" w:rsidRDefault="002D0055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D’un mois à l’autre</w:t>
      </w:r>
      <w:r w:rsidR="00D726CA" w:rsidRPr="002B6F18">
        <w:rPr>
          <w:sz w:val="24"/>
          <w:szCs w:val="24"/>
        </w:rPr>
        <w:t>, le stock de l</w:t>
      </w:r>
      <w:r w:rsidR="00B63110" w:rsidRPr="002B6F18">
        <w:rPr>
          <w:sz w:val="24"/>
          <w:szCs w:val="24"/>
        </w:rPr>
        <w:t xml:space="preserve">a dette intérieure </w:t>
      </w:r>
      <w:r w:rsidR="0030520B" w:rsidRPr="002B6F18">
        <w:rPr>
          <w:sz w:val="24"/>
          <w:szCs w:val="24"/>
        </w:rPr>
        <w:t xml:space="preserve">a </w:t>
      </w:r>
      <w:r w:rsidR="009C1304" w:rsidRPr="002B6F18">
        <w:rPr>
          <w:sz w:val="24"/>
          <w:szCs w:val="24"/>
        </w:rPr>
        <w:t>diminué</w:t>
      </w:r>
      <w:r w:rsidR="00B63110" w:rsidRPr="002B6F18">
        <w:rPr>
          <w:sz w:val="24"/>
          <w:szCs w:val="24"/>
        </w:rPr>
        <w:t xml:space="preserve"> de </w:t>
      </w:r>
      <w:r w:rsidR="009C1304" w:rsidRPr="002B6F18">
        <w:rPr>
          <w:sz w:val="24"/>
          <w:szCs w:val="24"/>
        </w:rPr>
        <w:t>979</w:t>
      </w:r>
      <w:r w:rsidR="00B63110" w:rsidRPr="002B6F18">
        <w:rPr>
          <w:sz w:val="24"/>
          <w:szCs w:val="24"/>
        </w:rPr>
        <w:t>,</w:t>
      </w:r>
      <w:r w:rsidR="009C1304" w:rsidRPr="002B6F18">
        <w:rPr>
          <w:sz w:val="24"/>
          <w:szCs w:val="24"/>
        </w:rPr>
        <w:t>4</w:t>
      </w:r>
      <w:r w:rsidR="001F6AB2" w:rsidRPr="002B6F18">
        <w:rPr>
          <w:sz w:val="24"/>
          <w:szCs w:val="24"/>
        </w:rPr>
        <w:t xml:space="preserve"> </w:t>
      </w:r>
      <w:r w:rsidR="00D726CA" w:rsidRPr="002B6F18">
        <w:rPr>
          <w:sz w:val="24"/>
          <w:szCs w:val="24"/>
        </w:rPr>
        <w:t xml:space="preserve">MBIF, </w:t>
      </w:r>
      <w:r w:rsidR="009C1304" w:rsidRPr="002B6F18">
        <w:rPr>
          <w:sz w:val="24"/>
          <w:szCs w:val="24"/>
        </w:rPr>
        <w:t>revenant</w:t>
      </w:r>
      <w:r w:rsidR="00D726CA" w:rsidRPr="002B6F18">
        <w:rPr>
          <w:sz w:val="24"/>
          <w:szCs w:val="24"/>
        </w:rPr>
        <w:t xml:space="preserve"> de </w:t>
      </w:r>
      <w:r w:rsidR="009C1304" w:rsidRPr="002B6F18">
        <w:rPr>
          <w:sz w:val="24"/>
          <w:szCs w:val="24"/>
        </w:rPr>
        <w:t>645.429,0</w:t>
      </w:r>
      <w:r w:rsidR="00FF34BE" w:rsidRPr="002B6F18">
        <w:rPr>
          <w:sz w:val="24"/>
          <w:szCs w:val="24"/>
        </w:rPr>
        <w:t xml:space="preserve"> </w:t>
      </w:r>
      <w:r w:rsidR="006E61FA" w:rsidRPr="002B6F18">
        <w:rPr>
          <w:sz w:val="24"/>
          <w:szCs w:val="24"/>
        </w:rPr>
        <w:t xml:space="preserve">à </w:t>
      </w:r>
      <w:r w:rsidR="00DB4045" w:rsidRPr="002B6F18">
        <w:rPr>
          <w:sz w:val="24"/>
          <w:szCs w:val="24"/>
        </w:rPr>
        <w:t>6</w:t>
      </w:r>
      <w:r w:rsidR="000F4A3A" w:rsidRPr="002B6F18">
        <w:rPr>
          <w:sz w:val="24"/>
          <w:szCs w:val="24"/>
        </w:rPr>
        <w:t>4</w:t>
      </w:r>
      <w:r w:rsidR="009C1304" w:rsidRPr="002B6F18">
        <w:rPr>
          <w:sz w:val="24"/>
          <w:szCs w:val="24"/>
        </w:rPr>
        <w:t>4</w:t>
      </w:r>
      <w:r w:rsidR="006E61FA" w:rsidRPr="002B6F18">
        <w:rPr>
          <w:sz w:val="24"/>
          <w:szCs w:val="24"/>
        </w:rPr>
        <w:t>.</w:t>
      </w:r>
      <w:r w:rsidR="000F4A3A" w:rsidRPr="002B6F18">
        <w:rPr>
          <w:sz w:val="24"/>
          <w:szCs w:val="24"/>
        </w:rPr>
        <w:t>4</w:t>
      </w:r>
      <w:r w:rsidR="009C1304" w:rsidRPr="002B6F18">
        <w:rPr>
          <w:sz w:val="24"/>
          <w:szCs w:val="24"/>
        </w:rPr>
        <w:t>4</w:t>
      </w:r>
      <w:r w:rsidR="000F4A3A" w:rsidRPr="002B6F18">
        <w:rPr>
          <w:sz w:val="24"/>
          <w:szCs w:val="24"/>
        </w:rPr>
        <w:t>9</w:t>
      </w:r>
      <w:r w:rsidR="006E61FA" w:rsidRPr="002B6F18">
        <w:rPr>
          <w:sz w:val="24"/>
          <w:szCs w:val="24"/>
        </w:rPr>
        <w:t>,</w:t>
      </w:r>
      <w:r w:rsidR="009C1304" w:rsidRPr="002B6F18">
        <w:rPr>
          <w:sz w:val="24"/>
          <w:szCs w:val="24"/>
        </w:rPr>
        <w:t>5</w:t>
      </w:r>
      <w:r w:rsidR="006E61FA" w:rsidRPr="002B6F18">
        <w:rPr>
          <w:sz w:val="24"/>
          <w:szCs w:val="24"/>
        </w:rPr>
        <w:t xml:space="preserve"> </w:t>
      </w:r>
      <w:r w:rsidR="00FF34BE" w:rsidRPr="002B6F18">
        <w:rPr>
          <w:sz w:val="24"/>
          <w:szCs w:val="24"/>
        </w:rPr>
        <w:t>MBIF</w:t>
      </w:r>
      <w:r w:rsidR="002D36F1" w:rsidRPr="002B6F18">
        <w:rPr>
          <w:sz w:val="24"/>
          <w:szCs w:val="24"/>
        </w:rPr>
        <w:t xml:space="preserve"> suite </w:t>
      </w:r>
      <w:r w:rsidR="00F75526" w:rsidRPr="002B6F18">
        <w:rPr>
          <w:sz w:val="24"/>
          <w:szCs w:val="24"/>
        </w:rPr>
        <w:t>au</w:t>
      </w:r>
      <w:r w:rsidR="00B15284" w:rsidRPr="002B6F18">
        <w:rPr>
          <w:sz w:val="24"/>
          <w:szCs w:val="24"/>
        </w:rPr>
        <w:t xml:space="preserve"> </w:t>
      </w:r>
      <w:r w:rsidR="00F75526" w:rsidRPr="002B6F18">
        <w:rPr>
          <w:sz w:val="24"/>
          <w:szCs w:val="24"/>
        </w:rPr>
        <w:t>désendettement</w:t>
      </w:r>
      <w:r w:rsidR="00B15284" w:rsidRPr="002B6F18">
        <w:rPr>
          <w:sz w:val="24"/>
          <w:szCs w:val="24"/>
        </w:rPr>
        <w:t xml:space="preserve"> de l’Etat</w:t>
      </w:r>
      <w:r w:rsidR="00A763E7" w:rsidRPr="002B6F18">
        <w:rPr>
          <w:sz w:val="24"/>
          <w:szCs w:val="24"/>
        </w:rPr>
        <w:t xml:space="preserve"> </w:t>
      </w:r>
      <w:r w:rsidR="00B15284" w:rsidRPr="002B6F18">
        <w:rPr>
          <w:sz w:val="24"/>
          <w:szCs w:val="24"/>
        </w:rPr>
        <w:t>vis-à-vis du secteur bancaire (</w:t>
      </w:r>
      <w:r w:rsidR="00F75526" w:rsidRPr="002B6F18">
        <w:rPr>
          <w:sz w:val="24"/>
          <w:szCs w:val="24"/>
        </w:rPr>
        <w:t>-7</w:t>
      </w:r>
      <w:r w:rsidR="00F0246C" w:rsidRPr="002B6F18">
        <w:rPr>
          <w:sz w:val="24"/>
          <w:szCs w:val="24"/>
        </w:rPr>
        <w:t>.</w:t>
      </w:r>
      <w:r w:rsidR="00F75526" w:rsidRPr="002B6F18">
        <w:rPr>
          <w:sz w:val="24"/>
          <w:szCs w:val="24"/>
        </w:rPr>
        <w:t>985</w:t>
      </w:r>
      <w:r w:rsidR="00B15284" w:rsidRPr="002B6F18">
        <w:rPr>
          <w:sz w:val="24"/>
          <w:szCs w:val="24"/>
        </w:rPr>
        <w:t>,</w:t>
      </w:r>
      <w:r w:rsidR="00F75526" w:rsidRPr="002B6F18">
        <w:rPr>
          <w:sz w:val="24"/>
          <w:szCs w:val="24"/>
        </w:rPr>
        <w:t>6</w:t>
      </w:r>
      <w:r w:rsidR="00B15284" w:rsidRPr="002B6F18">
        <w:rPr>
          <w:sz w:val="24"/>
          <w:szCs w:val="24"/>
        </w:rPr>
        <w:t xml:space="preserve"> MBIF) </w:t>
      </w:r>
      <w:r w:rsidR="00ED3C4D" w:rsidRPr="002B6F18">
        <w:rPr>
          <w:sz w:val="24"/>
          <w:szCs w:val="24"/>
        </w:rPr>
        <w:t>qui a contrebalancé</w:t>
      </w:r>
      <w:r w:rsidR="00F75526" w:rsidRPr="002B6F18">
        <w:rPr>
          <w:sz w:val="24"/>
          <w:szCs w:val="24"/>
        </w:rPr>
        <w:t xml:space="preserve"> l’endettement de l’Etat envers le secteur</w:t>
      </w:r>
      <w:r w:rsidR="00F0246C" w:rsidRPr="002B6F18">
        <w:rPr>
          <w:sz w:val="24"/>
          <w:szCs w:val="24"/>
        </w:rPr>
        <w:t xml:space="preserve"> non bancaire </w:t>
      </w:r>
      <w:r w:rsidR="00B15284" w:rsidRPr="002B6F18">
        <w:rPr>
          <w:sz w:val="24"/>
          <w:szCs w:val="24"/>
        </w:rPr>
        <w:t>(</w:t>
      </w:r>
      <w:r w:rsidR="000F4A3A" w:rsidRPr="002B6F18">
        <w:rPr>
          <w:sz w:val="24"/>
          <w:szCs w:val="24"/>
        </w:rPr>
        <w:t>+</w:t>
      </w:r>
      <w:r w:rsidR="00F517AB" w:rsidRPr="002B6F18">
        <w:rPr>
          <w:sz w:val="24"/>
          <w:szCs w:val="24"/>
        </w:rPr>
        <w:t>7</w:t>
      </w:r>
      <w:r w:rsidR="00F75526" w:rsidRPr="002B6F18">
        <w:rPr>
          <w:sz w:val="24"/>
          <w:szCs w:val="24"/>
        </w:rPr>
        <w:t>.006</w:t>
      </w:r>
      <w:r w:rsidR="00B15284" w:rsidRPr="002B6F18">
        <w:rPr>
          <w:sz w:val="24"/>
          <w:szCs w:val="24"/>
        </w:rPr>
        <w:t>,</w:t>
      </w:r>
      <w:r w:rsidR="00F75526" w:rsidRPr="002B6F18">
        <w:rPr>
          <w:sz w:val="24"/>
          <w:szCs w:val="24"/>
        </w:rPr>
        <w:t>2</w:t>
      </w:r>
      <w:r w:rsidR="00B15284" w:rsidRPr="002B6F18">
        <w:rPr>
          <w:sz w:val="24"/>
          <w:szCs w:val="24"/>
        </w:rPr>
        <w:t xml:space="preserve"> MBIF).</w:t>
      </w:r>
      <w:r w:rsidR="008E4FE9" w:rsidRPr="002B6F18">
        <w:rPr>
          <w:sz w:val="24"/>
          <w:szCs w:val="24"/>
        </w:rPr>
        <w:t xml:space="preserve"> </w:t>
      </w:r>
      <w:r w:rsidR="002F3C29" w:rsidRPr="002B6F18">
        <w:rPr>
          <w:sz w:val="24"/>
          <w:szCs w:val="24"/>
        </w:rPr>
        <w:t xml:space="preserve"> </w:t>
      </w:r>
      <w:r w:rsidR="009065D2" w:rsidRPr="002B6F18">
        <w:rPr>
          <w:sz w:val="24"/>
          <w:szCs w:val="24"/>
        </w:rPr>
        <w:t xml:space="preserve">  </w:t>
      </w:r>
    </w:p>
    <w:p w:rsidR="00D726CA" w:rsidRPr="002B6F18" w:rsidRDefault="00D726CA" w:rsidP="00C63362">
      <w:pPr>
        <w:pStyle w:val="Titre3"/>
        <w:spacing w:after="120"/>
        <w:rPr>
          <w:rFonts w:ascii="Calibri" w:hAnsi="Calibri"/>
          <w:b w:val="0"/>
          <w:color w:val="00B0F0"/>
          <w:sz w:val="24"/>
          <w:szCs w:val="24"/>
        </w:rPr>
      </w:pPr>
      <w:bookmarkStart w:id="12" w:name="_Toc393361856"/>
      <w:r w:rsidRPr="002B6F18">
        <w:rPr>
          <w:rFonts w:ascii="Calibri" w:hAnsi="Calibri"/>
          <w:color w:val="00B0F0"/>
          <w:sz w:val="24"/>
          <w:szCs w:val="24"/>
        </w:rPr>
        <w:t>Dette extérieure</w:t>
      </w:r>
      <w:bookmarkEnd w:id="12"/>
    </w:p>
    <w:p w:rsidR="00D726CA" w:rsidRPr="002B6F18" w:rsidRDefault="00D726CA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En glissement annuel, l’encours de la dette publique extérieure </w:t>
      </w:r>
      <w:r w:rsidR="002F0599" w:rsidRPr="002B6F18">
        <w:rPr>
          <w:sz w:val="24"/>
          <w:szCs w:val="24"/>
        </w:rPr>
        <w:t>a progressé</w:t>
      </w:r>
      <w:r w:rsidR="008E7A7E" w:rsidRPr="002B6F18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 xml:space="preserve">de </w:t>
      </w:r>
      <w:r w:rsidR="00F75526" w:rsidRPr="002B6F18">
        <w:rPr>
          <w:sz w:val="24"/>
          <w:szCs w:val="24"/>
        </w:rPr>
        <w:t>58</w:t>
      </w:r>
      <w:r w:rsidRPr="002B6F18">
        <w:rPr>
          <w:sz w:val="24"/>
          <w:szCs w:val="24"/>
        </w:rPr>
        <w:t>.</w:t>
      </w:r>
      <w:r w:rsidR="00F75526" w:rsidRPr="002B6F18">
        <w:rPr>
          <w:sz w:val="24"/>
          <w:szCs w:val="24"/>
        </w:rPr>
        <w:t>713</w:t>
      </w:r>
      <w:r w:rsidRPr="002B6F18">
        <w:rPr>
          <w:sz w:val="24"/>
          <w:szCs w:val="24"/>
        </w:rPr>
        <w:t>,</w:t>
      </w:r>
      <w:r w:rsidR="004E0FEA" w:rsidRPr="002B6F18">
        <w:rPr>
          <w:sz w:val="24"/>
          <w:szCs w:val="24"/>
        </w:rPr>
        <w:t>4</w:t>
      </w:r>
      <w:r w:rsidR="00C00E7B" w:rsidRPr="002B6F18">
        <w:rPr>
          <w:sz w:val="24"/>
          <w:szCs w:val="24"/>
        </w:rPr>
        <w:t xml:space="preserve"> MBIF, passant de </w:t>
      </w:r>
      <w:r w:rsidR="00BB5005" w:rsidRPr="002B6F18">
        <w:rPr>
          <w:sz w:val="24"/>
          <w:szCs w:val="24"/>
        </w:rPr>
        <w:t>605.620,3</w:t>
      </w:r>
      <w:r w:rsidR="00465D97" w:rsidRPr="002B6F18">
        <w:rPr>
          <w:sz w:val="24"/>
          <w:szCs w:val="24"/>
        </w:rPr>
        <w:t xml:space="preserve"> </w:t>
      </w:r>
      <w:r w:rsidR="00275DCD" w:rsidRPr="002B6F18">
        <w:rPr>
          <w:sz w:val="24"/>
          <w:szCs w:val="24"/>
        </w:rPr>
        <w:t xml:space="preserve">à </w:t>
      </w:r>
      <w:r w:rsidR="00C57704" w:rsidRPr="002B6F18">
        <w:rPr>
          <w:sz w:val="24"/>
          <w:szCs w:val="24"/>
        </w:rPr>
        <w:t>6</w:t>
      </w:r>
      <w:r w:rsidR="00BB5005" w:rsidRPr="002B6F18">
        <w:rPr>
          <w:sz w:val="24"/>
          <w:szCs w:val="24"/>
        </w:rPr>
        <w:t>64</w:t>
      </w:r>
      <w:r w:rsidR="00C15D7F" w:rsidRPr="002B6F18">
        <w:rPr>
          <w:sz w:val="24"/>
          <w:szCs w:val="24"/>
        </w:rPr>
        <w:t>.</w:t>
      </w:r>
      <w:r w:rsidR="00BB5005" w:rsidRPr="002B6F18">
        <w:rPr>
          <w:sz w:val="24"/>
          <w:szCs w:val="24"/>
        </w:rPr>
        <w:t>333</w:t>
      </w:r>
      <w:r w:rsidR="00C15D7F" w:rsidRPr="002B6F18">
        <w:rPr>
          <w:sz w:val="24"/>
          <w:szCs w:val="24"/>
        </w:rPr>
        <w:t>,</w:t>
      </w:r>
      <w:r w:rsidR="00BB5005" w:rsidRPr="002B6F18">
        <w:rPr>
          <w:sz w:val="24"/>
          <w:szCs w:val="24"/>
        </w:rPr>
        <w:t>7</w:t>
      </w:r>
      <w:r w:rsidR="00C57704" w:rsidRPr="002B6F18">
        <w:rPr>
          <w:sz w:val="24"/>
          <w:szCs w:val="24"/>
        </w:rPr>
        <w:t xml:space="preserve"> M</w:t>
      </w:r>
      <w:r w:rsidR="00275DCD" w:rsidRPr="002B6F18">
        <w:rPr>
          <w:sz w:val="24"/>
          <w:szCs w:val="24"/>
        </w:rPr>
        <w:t>BIF</w:t>
      </w:r>
      <w:r w:rsidRPr="002B6F18">
        <w:rPr>
          <w:sz w:val="24"/>
          <w:szCs w:val="24"/>
        </w:rPr>
        <w:t xml:space="preserve">. Cette </w:t>
      </w:r>
      <w:r w:rsidR="00ED3C4D" w:rsidRPr="002B6F18">
        <w:rPr>
          <w:sz w:val="24"/>
          <w:szCs w:val="24"/>
        </w:rPr>
        <w:t>augmentation</w:t>
      </w:r>
      <w:r w:rsidRPr="002B6F18">
        <w:rPr>
          <w:sz w:val="24"/>
          <w:szCs w:val="24"/>
        </w:rPr>
        <w:t xml:space="preserve"> a résulté </w:t>
      </w:r>
      <w:r w:rsidR="0076709B" w:rsidRPr="002B6F18">
        <w:rPr>
          <w:sz w:val="24"/>
          <w:szCs w:val="24"/>
        </w:rPr>
        <w:t xml:space="preserve">des nouveaux tirages </w:t>
      </w:r>
      <w:r w:rsidR="009931BD" w:rsidRPr="002B6F18">
        <w:rPr>
          <w:sz w:val="24"/>
          <w:szCs w:val="24"/>
        </w:rPr>
        <w:t>(</w:t>
      </w:r>
      <w:r w:rsidR="000058D6" w:rsidRPr="002B6F18">
        <w:rPr>
          <w:sz w:val="24"/>
          <w:szCs w:val="24"/>
        </w:rPr>
        <w:t>4</w:t>
      </w:r>
      <w:r w:rsidR="006E72B2" w:rsidRPr="002B6F18">
        <w:rPr>
          <w:sz w:val="24"/>
          <w:szCs w:val="24"/>
        </w:rPr>
        <w:t>5</w:t>
      </w:r>
      <w:r w:rsidR="0054661F" w:rsidRPr="002B6F18">
        <w:rPr>
          <w:sz w:val="24"/>
          <w:szCs w:val="24"/>
        </w:rPr>
        <w:t>.</w:t>
      </w:r>
      <w:r w:rsidR="00BB5005" w:rsidRPr="002B6F18">
        <w:rPr>
          <w:sz w:val="24"/>
          <w:szCs w:val="24"/>
        </w:rPr>
        <w:t>2</w:t>
      </w:r>
      <w:r w:rsidR="006E72B2" w:rsidRPr="002B6F18">
        <w:rPr>
          <w:sz w:val="24"/>
          <w:szCs w:val="24"/>
        </w:rPr>
        <w:t>20</w:t>
      </w:r>
      <w:r w:rsidR="0054661F" w:rsidRPr="002B6F18">
        <w:rPr>
          <w:sz w:val="24"/>
          <w:szCs w:val="24"/>
        </w:rPr>
        <w:t>,</w:t>
      </w:r>
      <w:r w:rsidR="006E72B2" w:rsidRPr="002B6F18">
        <w:rPr>
          <w:sz w:val="24"/>
          <w:szCs w:val="24"/>
        </w:rPr>
        <w:t>2</w:t>
      </w:r>
      <w:r w:rsidR="0076709B" w:rsidRPr="002B6F18">
        <w:rPr>
          <w:sz w:val="24"/>
          <w:szCs w:val="24"/>
        </w:rPr>
        <w:t xml:space="preserve"> MBIF</w:t>
      </w:r>
      <w:r w:rsidR="0054661F" w:rsidRPr="002B6F18">
        <w:rPr>
          <w:sz w:val="24"/>
          <w:szCs w:val="24"/>
        </w:rPr>
        <w:t>)</w:t>
      </w:r>
      <w:r w:rsidR="00500DA9" w:rsidRPr="002B6F18">
        <w:rPr>
          <w:sz w:val="24"/>
          <w:szCs w:val="24"/>
        </w:rPr>
        <w:t xml:space="preserve"> et des plus-values de réévaluation (</w:t>
      </w:r>
      <w:r w:rsidR="00BB5005" w:rsidRPr="002B6F18">
        <w:rPr>
          <w:sz w:val="24"/>
          <w:szCs w:val="24"/>
        </w:rPr>
        <w:t>22</w:t>
      </w:r>
      <w:r w:rsidR="00500DA9" w:rsidRPr="002B6F18">
        <w:rPr>
          <w:sz w:val="24"/>
          <w:szCs w:val="24"/>
        </w:rPr>
        <w:t>.</w:t>
      </w:r>
      <w:r w:rsidR="00BB5005" w:rsidRPr="002B6F18">
        <w:rPr>
          <w:sz w:val="24"/>
          <w:szCs w:val="24"/>
        </w:rPr>
        <w:t>393</w:t>
      </w:r>
      <w:r w:rsidR="00500DA9" w:rsidRPr="002B6F18">
        <w:rPr>
          <w:sz w:val="24"/>
          <w:szCs w:val="24"/>
        </w:rPr>
        <w:t>,</w:t>
      </w:r>
      <w:r w:rsidR="00BB5005" w:rsidRPr="002B6F18">
        <w:rPr>
          <w:sz w:val="24"/>
          <w:szCs w:val="24"/>
        </w:rPr>
        <w:t>8</w:t>
      </w:r>
      <w:r w:rsidR="00500DA9" w:rsidRPr="002B6F18">
        <w:rPr>
          <w:sz w:val="24"/>
          <w:szCs w:val="24"/>
        </w:rPr>
        <w:t xml:space="preserve"> MBIF) </w:t>
      </w:r>
      <w:r w:rsidR="00015788" w:rsidRPr="002B6F18">
        <w:rPr>
          <w:sz w:val="24"/>
          <w:szCs w:val="24"/>
        </w:rPr>
        <w:t>qui ont dépassé</w:t>
      </w:r>
      <w:r w:rsidR="00B35029" w:rsidRPr="002B6F18">
        <w:rPr>
          <w:sz w:val="24"/>
          <w:szCs w:val="24"/>
        </w:rPr>
        <w:t xml:space="preserve"> l’amortissement (</w:t>
      </w:r>
      <w:r w:rsidR="00E45C43" w:rsidRPr="002B6F18">
        <w:rPr>
          <w:sz w:val="24"/>
          <w:szCs w:val="24"/>
        </w:rPr>
        <w:t>8</w:t>
      </w:r>
      <w:r w:rsidR="00B35029" w:rsidRPr="002B6F18">
        <w:rPr>
          <w:sz w:val="24"/>
          <w:szCs w:val="24"/>
        </w:rPr>
        <w:t>.</w:t>
      </w:r>
      <w:r w:rsidR="000058D6" w:rsidRPr="002B6F18">
        <w:rPr>
          <w:sz w:val="24"/>
          <w:szCs w:val="24"/>
        </w:rPr>
        <w:t>9</w:t>
      </w:r>
      <w:r w:rsidR="00BB5005" w:rsidRPr="002B6F18">
        <w:rPr>
          <w:sz w:val="24"/>
          <w:szCs w:val="24"/>
        </w:rPr>
        <w:t>0</w:t>
      </w:r>
      <w:r w:rsidR="000058D6" w:rsidRPr="002B6F18">
        <w:rPr>
          <w:sz w:val="24"/>
          <w:szCs w:val="24"/>
        </w:rPr>
        <w:t>0</w:t>
      </w:r>
      <w:r w:rsidR="00B35029" w:rsidRPr="002B6F18">
        <w:rPr>
          <w:sz w:val="24"/>
          <w:szCs w:val="24"/>
        </w:rPr>
        <w:t>,</w:t>
      </w:r>
      <w:r w:rsidR="00BB5005" w:rsidRPr="002B6F18">
        <w:rPr>
          <w:sz w:val="24"/>
          <w:szCs w:val="24"/>
        </w:rPr>
        <w:t>7</w:t>
      </w:r>
      <w:r w:rsidR="00B35029" w:rsidRPr="002B6F18">
        <w:rPr>
          <w:sz w:val="24"/>
          <w:szCs w:val="24"/>
        </w:rPr>
        <w:t xml:space="preserve"> MBIF)</w:t>
      </w:r>
      <w:r w:rsidRPr="002B6F18">
        <w:rPr>
          <w:sz w:val="24"/>
          <w:szCs w:val="24"/>
        </w:rPr>
        <w:t xml:space="preserve">.  </w:t>
      </w:r>
    </w:p>
    <w:p w:rsidR="009931BD" w:rsidRPr="002B6F18" w:rsidRDefault="0076709B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D’un mois à l’autre, l’encours </w:t>
      </w:r>
      <w:r w:rsidR="00413D85" w:rsidRPr="002B6F18">
        <w:rPr>
          <w:sz w:val="24"/>
          <w:szCs w:val="24"/>
        </w:rPr>
        <w:t>de la dette publique extérieure</w:t>
      </w:r>
      <w:r w:rsidR="00616111" w:rsidRPr="002B6F18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 xml:space="preserve">a </w:t>
      </w:r>
      <w:r w:rsidR="00BB5005" w:rsidRPr="002B6F18">
        <w:rPr>
          <w:sz w:val="24"/>
          <w:szCs w:val="24"/>
        </w:rPr>
        <w:t>augmenté</w:t>
      </w:r>
      <w:r w:rsidRPr="002B6F18">
        <w:rPr>
          <w:sz w:val="24"/>
          <w:szCs w:val="24"/>
        </w:rPr>
        <w:t xml:space="preserve"> de </w:t>
      </w:r>
      <w:r w:rsidR="006E72B2" w:rsidRPr="002B6F18">
        <w:rPr>
          <w:sz w:val="24"/>
          <w:szCs w:val="24"/>
        </w:rPr>
        <w:t>8</w:t>
      </w:r>
      <w:r w:rsidR="008C34AF" w:rsidRPr="002B6F18">
        <w:rPr>
          <w:sz w:val="24"/>
          <w:szCs w:val="24"/>
        </w:rPr>
        <w:t>.</w:t>
      </w:r>
      <w:r w:rsidR="006E72B2" w:rsidRPr="002B6F18">
        <w:rPr>
          <w:sz w:val="24"/>
          <w:szCs w:val="24"/>
        </w:rPr>
        <w:t>201</w:t>
      </w:r>
      <w:r w:rsidRPr="002B6F18">
        <w:rPr>
          <w:sz w:val="24"/>
          <w:szCs w:val="24"/>
        </w:rPr>
        <w:t>,</w:t>
      </w:r>
      <w:r w:rsidR="00597178" w:rsidRPr="002B6F18">
        <w:rPr>
          <w:sz w:val="24"/>
          <w:szCs w:val="24"/>
        </w:rPr>
        <w:t>5</w:t>
      </w:r>
      <w:r w:rsidRPr="002B6F18">
        <w:rPr>
          <w:sz w:val="24"/>
          <w:szCs w:val="24"/>
        </w:rPr>
        <w:t xml:space="preserve"> MBIF</w:t>
      </w:r>
      <w:r w:rsidR="0054661F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</w:t>
      </w:r>
      <w:r w:rsidR="006E72B2" w:rsidRPr="002B6F18">
        <w:rPr>
          <w:sz w:val="24"/>
          <w:szCs w:val="24"/>
        </w:rPr>
        <w:t>pass</w:t>
      </w:r>
      <w:r w:rsidR="00667148" w:rsidRPr="002B6F18">
        <w:rPr>
          <w:sz w:val="24"/>
          <w:szCs w:val="24"/>
        </w:rPr>
        <w:t>ant</w:t>
      </w:r>
      <w:r w:rsidR="002A0C3E" w:rsidRPr="002B6F18">
        <w:rPr>
          <w:sz w:val="24"/>
          <w:szCs w:val="24"/>
        </w:rPr>
        <w:t xml:space="preserve"> de </w:t>
      </w:r>
      <w:r w:rsidR="006E72B2" w:rsidRPr="002B6F18">
        <w:rPr>
          <w:sz w:val="24"/>
          <w:szCs w:val="24"/>
        </w:rPr>
        <w:t>656.132,2</w:t>
      </w:r>
      <w:r w:rsidR="003535EB" w:rsidRPr="002B6F18">
        <w:rPr>
          <w:sz w:val="24"/>
          <w:szCs w:val="24"/>
        </w:rPr>
        <w:t xml:space="preserve"> à 6</w:t>
      </w:r>
      <w:r w:rsidR="00667148" w:rsidRPr="002B6F18">
        <w:rPr>
          <w:sz w:val="24"/>
          <w:szCs w:val="24"/>
        </w:rPr>
        <w:t>6</w:t>
      </w:r>
      <w:r w:rsidR="006E72B2" w:rsidRPr="002B6F18">
        <w:rPr>
          <w:sz w:val="24"/>
          <w:szCs w:val="24"/>
        </w:rPr>
        <w:t>4</w:t>
      </w:r>
      <w:r w:rsidR="003535EB" w:rsidRPr="002B6F18">
        <w:rPr>
          <w:sz w:val="24"/>
          <w:szCs w:val="24"/>
        </w:rPr>
        <w:t>.</w:t>
      </w:r>
      <w:r w:rsidR="006E72B2" w:rsidRPr="002B6F18">
        <w:rPr>
          <w:sz w:val="24"/>
          <w:szCs w:val="24"/>
        </w:rPr>
        <w:t>333</w:t>
      </w:r>
      <w:r w:rsidR="003535EB" w:rsidRPr="002B6F18">
        <w:rPr>
          <w:sz w:val="24"/>
          <w:szCs w:val="24"/>
        </w:rPr>
        <w:t>,</w:t>
      </w:r>
      <w:r w:rsidR="006E72B2" w:rsidRPr="002B6F18">
        <w:rPr>
          <w:sz w:val="24"/>
          <w:szCs w:val="24"/>
        </w:rPr>
        <w:t>7</w:t>
      </w:r>
      <w:r w:rsidR="002A0C3E" w:rsidRPr="002B6F18">
        <w:rPr>
          <w:sz w:val="24"/>
          <w:szCs w:val="24"/>
        </w:rPr>
        <w:t xml:space="preserve"> MBIF</w:t>
      </w:r>
      <w:r w:rsidR="003535EB" w:rsidRPr="002B6F18">
        <w:rPr>
          <w:sz w:val="24"/>
          <w:szCs w:val="24"/>
        </w:rPr>
        <w:t xml:space="preserve"> </w:t>
      </w:r>
      <w:r w:rsidR="009C5A78" w:rsidRPr="002B6F18">
        <w:rPr>
          <w:sz w:val="24"/>
          <w:szCs w:val="24"/>
        </w:rPr>
        <w:t xml:space="preserve">suite </w:t>
      </w:r>
      <w:r w:rsidR="00EA7EEA" w:rsidRPr="002B6F18">
        <w:rPr>
          <w:sz w:val="24"/>
          <w:szCs w:val="24"/>
        </w:rPr>
        <w:t>aux</w:t>
      </w:r>
      <w:r w:rsidR="009C5A78" w:rsidRPr="002B6F18">
        <w:rPr>
          <w:sz w:val="24"/>
          <w:szCs w:val="24"/>
        </w:rPr>
        <w:t xml:space="preserve"> tirages (2.035,4 MBIF) et </w:t>
      </w:r>
      <w:r w:rsidR="00EA7EEA" w:rsidRPr="002B6F18">
        <w:rPr>
          <w:sz w:val="24"/>
          <w:szCs w:val="24"/>
        </w:rPr>
        <w:t>aux plus-values de réévaluation (</w:t>
      </w:r>
      <w:r w:rsidR="009C5A78" w:rsidRPr="002B6F18">
        <w:rPr>
          <w:sz w:val="24"/>
          <w:szCs w:val="24"/>
        </w:rPr>
        <w:t>6.676,5 MBIF)</w:t>
      </w:r>
      <w:r w:rsidR="00EA7EEA" w:rsidRPr="002B6F18">
        <w:rPr>
          <w:sz w:val="24"/>
          <w:szCs w:val="24"/>
        </w:rPr>
        <w:t>.</w:t>
      </w:r>
      <w:r w:rsidR="009C5A78" w:rsidRPr="002B6F18">
        <w:rPr>
          <w:sz w:val="24"/>
          <w:szCs w:val="24"/>
        </w:rPr>
        <w:t xml:space="preserve"> </w:t>
      </w:r>
    </w:p>
    <w:p w:rsidR="00C63362" w:rsidRPr="002B6F18" w:rsidRDefault="00F73E33" w:rsidP="004605E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lastRenderedPageBreak/>
        <w:t xml:space="preserve"> </w:t>
      </w:r>
      <w:r w:rsidR="00D726CA" w:rsidRPr="002B6F18">
        <w:rPr>
          <w:sz w:val="24"/>
          <w:szCs w:val="24"/>
        </w:rPr>
        <w:t xml:space="preserve">Exprimé en dollars américains, le stock de la dette extérieure à fin </w:t>
      </w:r>
      <w:r w:rsidR="005C11B6" w:rsidRPr="002B6F18">
        <w:rPr>
          <w:sz w:val="24"/>
          <w:szCs w:val="24"/>
        </w:rPr>
        <w:t>Mai</w:t>
      </w:r>
      <w:r w:rsidR="008E7A7E" w:rsidRPr="002B6F18">
        <w:rPr>
          <w:sz w:val="24"/>
          <w:szCs w:val="24"/>
        </w:rPr>
        <w:t xml:space="preserve"> </w:t>
      </w:r>
      <w:r w:rsidR="00D726CA" w:rsidRPr="002B6F18">
        <w:rPr>
          <w:sz w:val="24"/>
          <w:szCs w:val="24"/>
        </w:rPr>
        <w:t>20</w:t>
      </w:r>
      <w:r w:rsidR="00E407BD" w:rsidRPr="002B6F18">
        <w:rPr>
          <w:sz w:val="24"/>
          <w:szCs w:val="24"/>
        </w:rPr>
        <w:t>1</w:t>
      </w:r>
      <w:r w:rsidR="00C45E88" w:rsidRPr="002B6F18">
        <w:rPr>
          <w:sz w:val="24"/>
          <w:szCs w:val="24"/>
        </w:rPr>
        <w:t>4</w:t>
      </w:r>
      <w:r w:rsidR="00D726CA" w:rsidRPr="002B6F18">
        <w:rPr>
          <w:sz w:val="24"/>
          <w:szCs w:val="24"/>
        </w:rPr>
        <w:t xml:space="preserve"> a </w:t>
      </w:r>
      <w:r w:rsidR="006E73F0" w:rsidRPr="002B6F18">
        <w:rPr>
          <w:sz w:val="24"/>
          <w:szCs w:val="24"/>
        </w:rPr>
        <w:t>augmenté</w:t>
      </w:r>
      <w:r w:rsidR="00D726CA" w:rsidRPr="002B6F18">
        <w:rPr>
          <w:sz w:val="24"/>
          <w:szCs w:val="24"/>
        </w:rPr>
        <w:t xml:space="preserve"> de </w:t>
      </w:r>
      <w:r w:rsidR="000207DA" w:rsidRPr="002B6F18">
        <w:rPr>
          <w:sz w:val="24"/>
          <w:szCs w:val="24"/>
        </w:rPr>
        <w:t>3</w:t>
      </w:r>
      <w:r w:rsidR="005C11B6" w:rsidRPr="002B6F18">
        <w:rPr>
          <w:sz w:val="24"/>
          <w:szCs w:val="24"/>
        </w:rPr>
        <w:t>8</w:t>
      </w:r>
      <w:r w:rsidR="00D11D60" w:rsidRPr="002B6F18">
        <w:rPr>
          <w:sz w:val="24"/>
          <w:szCs w:val="24"/>
        </w:rPr>
        <w:t>,</w:t>
      </w:r>
      <w:r w:rsidR="005C11B6" w:rsidRPr="002B6F18">
        <w:rPr>
          <w:sz w:val="24"/>
          <w:szCs w:val="24"/>
        </w:rPr>
        <w:t>4</w:t>
      </w:r>
      <w:r w:rsidR="00D726CA" w:rsidRPr="002B6F18">
        <w:rPr>
          <w:sz w:val="24"/>
          <w:szCs w:val="24"/>
        </w:rPr>
        <w:t xml:space="preserve"> </w:t>
      </w:r>
      <w:r w:rsidR="000562EF" w:rsidRPr="002B6F18">
        <w:rPr>
          <w:sz w:val="24"/>
          <w:szCs w:val="24"/>
        </w:rPr>
        <w:t>millions de dollar</w:t>
      </w:r>
      <w:r w:rsidR="00D726CA" w:rsidRPr="002B6F18">
        <w:rPr>
          <w:sz w:val="24"/>
          <w:szCs w:val="24"/>
        </w:rPr>
        <w:t xml:space="preserve">, </w:t>
      </w:r>
      <w:r w:rsidR="00A73681" w:rsidRPr="002B6F18">
        <w:rPr>
          <w:sz w:val="24"/>
          <w:szCs w:val="24"/>
        </w:rPr>
        <w:t>se fixant à</w:t>
      </w:r>
      <w:r w:rsidRPr="002B6F18">
        <w:rPr>
          <w:sz w:val="24"/>
          <w:szCs w:val="24"/>
        </w:rPr>
        <w:t xml:space="preserve"> </w:t>
      </w:r>
      <w:r w:rsidR="00C45E88" w:rsidRPr="002B6F18">
        <w:rPr>
          <w:sz w:val="24"/>
          <w:szCs w:val="24"/>
        </w:rPr>
        <w:t>4</w:t>
      </w:r>
      <w:r w:rsidR="000207DA" w:rsidRPr="002B6F18">
        <w:rPr>
          <w:sz w:val="24"/>
          <w:szCs w:val="24"/>
        </w:rPr>
        <w:t>2</w:t>
      </w:r>
      <w:r w:rsidR="005C11B6" w:rsidRPr="002B6F18">
        <w:rPr>
          <w:sz w:val="24"/>
          <w:szCs w:val="24"/>
        </w:rPr>
        <w:t>9</w:t>
      </w:r>
      <w:r w:rsidRPr="002B6F18">
        <w:rPr>
          <w:sz w:val="24"/>
          <w:szCs w:val="24"/>
        </w:rPr>
        <w:t>,</w:t>
      </w:r>
      <w:r w:rsidR="005C11B6" w:rsidRPr="002B6F18">
        <w:rPr>
          <w:sz w:val="24"/>
          <w:szCs w:val="24"/>
        </w:rPr>
        <w:t>9</w:t>
      </w:r>
      <w:r w:rsidR="00A73681" w:rsidRPr="002B6F18">
        <w:rPr>
          <w:sz w:val="24"/>
          <w:szCs w:val="24"/>
        </w:rPr>
        <w:t xml:space="preserve"> contre</w:t>
      </w:r>
      <w:r w:rsidR="00D726CA" w:rsidRPr="002B6F18">
        <w:rPr>
          <w:sz w:val="24"/>
          <w:szCs w:val="24"/>
        </w:rPr>
        <w:t xml:space="preserve"> </w:t>
      </w:r>
      <w:r w:rsidR="00015788" w:rsidRPr="002B6F18">
        <w:rPr>
          <w:sz w:val="24"/>
          <w:szCs w:val="24"/>
        </w:rPr>
        <w:t>39</w:t>
      </w:r>
      <w:r w:rsidR="005C11B6" w:rsidRPr="002B6F18">
        <w:rPr>
          <w:sz w:val="24"/>
          <w:szCs w:val="24"/>
        </w:rPr>
        <w:t>1</w:t>
      </w:r>
      <w:r w:rsidR="00A73681" w:rsidRPr="002B6F18">
        <w:rPr>
          <w:sz w:val="24"/>
          <w:szCs w:val="24"/>
        </w:rPr>
        <w:t>,</w:t>
      </w:r>
      <w:r w:rsidR="000207DA" w:rsidRPr="002B6F18">
        <w:rPr>
          <w:sz w:val="24"/>
          <w:szCs w:val="24"/>
        </w:rPr>
        <w:t>5</w:t>
      </w:r>
      <w:r w:rsidR="00A73681" w:rsidRPr="002B6F18">
        <w:rPr>
          <w:sz w:val="24"/>
          <w:szCs w:val="24"/>
        </w:rPr>
        <w:t xml:space="preserve"> </w:t>
      </w:r>
      <w:r w:rsidR="000562EF" w:rsidRPr="002B6F18">
        <w:rPr>
          <w:sz w:val="24"/>
          <w:szCs w:val="24"/>
        </w:rPr>
        <w:t xml:space="preserve">millions </w:t>
      </w:r>
      <w:r w:rsidR="00D726CA" w:rsidRPr="002B6F18">
        <w:rPr>
          <w:sz w:val="24"/>
          <w:szCs w:val="24"/>
        </w:rPr>
        <w:t>à</w:t>
      </w:r>
      <w:r w:rsidR="00522E8D" w:rsidRPr="002B6F18">
        <w:rPr>
          <w:sz w:val="24"/>
          <w:szCs w:val="24"/>
        </w:rPr>
        <w:t xml:space="preserve"> la fin de</w:t>
      </w:r>
      <w:r w:rsidR="00D726CA" w:rsidRPr="002B6F18">
        <w:rPr>
          <w:sz w:val="24"/>
          <w:szCs w:val="24"/>
        </w:rPr>
        <w:t xml:space="preserve"> la période</w:t>
      </w:r>
      <w:r w:rsidR="003E08D0" w:rsidRPr="002B6F18">
        <w:rPr>
          <w:sz w:val="24"/>
          <w:szCs w:val="24"/>
        </w:rPr>
        <w:t xml:space="preserve"> correspondante</w:t>
      </w:r>
      <w:r w:rsidR="00D726CA" w:rsidRPr="002B6F18">
        <w:rPr>
          <w:sz w:val="24"/>
          <w:szCs w:val="24"/>
        </w:rPr>
        <w:t xml:space="preserve"> de l’année précédente.</w:t>
      </w:r>
      <w:bookmarkStart w:id="13" w:name="_Toc393361857"/>
    </w:p>
    <w:p w:rsidR="004605E2" w:rsidRPr="002B6F18" w:rsidRDefault="008B68AD" w:rsidP="004605E2">
      <w:pPr>
        <w:spacing w:after="0"/>
        <w:jc w:val="both"/>
        <w:rPr>
          <w:b/>
          <w:color w:val="00B0F0"/>
          <w:sz w:val="24"/>
          <w:szCs w:val="24"/>
        </w:rPr>
      </w:pPr>
      <w:r w:rsidRPr="002B6F18">
        <w:rPr>
          <w:b/>
          <w:color w:val="00B0F0"/>
          <w:sz w:val="24"/>
          <w:szCs w:val="24"/>
        </w:rPr>
        <w:t xml:space="preserve">V. BASE MONETAIRE, MASSE MONETAIRE </w:t>
      </w:r>
    </w:p>
    <w:p w:rsidR="008B68AD" w:rsidRPr="002B6F18" w:rsidRDefault="004605E2" w:rsidP="00C63362">
      <w:pPr>
        <w:spacing w:after="240"/>
        <w:jc w:val="both"/>
        <w:rPr>
          <w:b/>
          <w:color w:val="00B0F0"/>
          <w:sz w:val="24"/>
          <w:szCs w:val="24"/>
        </w:rPr>
      </w:pPr>
      <w:r w:rsidRPr="002B6F18">
        <w:rPr>
          <w:b/>
          <w:color w:val="00B0F0"/>
          <w:sz w:val="24"/>
          <w:szCs w:val="24"/>
        </w:rPr>
        <w:t xml:space="preserve">     </w:t>
      </w:r>
      <w:r w:rsidR="008B68AD" w:rsidRPr="002B6F18">
        <w:rPr>
          <w:b/>
          <w:color w:val="00B0F0"/>
          <w:sz w:val="24"/>
          <w:szCs w:val="24"/>
        </w:rPr>
        <w:t>ET CONTREPARTIES</w:t>
      </w:r>
      <w:bookmarkEnd w:id="13"/>
      <w:r w:rsidR="008B68AD" w:rsidRPr="002B6F18">
        <w:rPr>
          <w:b/>
          <w:color w:val="00B0F0"/>
          <w:sz w:val="24"/>
          <w:szCs w:val="24"/>
        </w:rPr>
        <w:t xml:space="preserve"> </w:t>
      </w:r>
    </w:p>
    <w:p w:rsidR="004605E2" w:rsidRPr="002B6F18" w:rsidRDefault="004605E2" w:rsidP="004605E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En termes de glissement annuel, la croissance de la base monétaire s’est décélérée (22,8 contre 26,6 p.c.). De même, le rythme de croissance de la masse monétaire </w:t>
      </w:r>
      <w:r w:rsidR="00227FB0">
        <w:rPr>
          <w:sz w:val="24"/>
          <w:szCs w:val="24"/>
        </w:rPr>
        <w:t xml:space="preserve">s’est ralenti </w:t>
      </w:r>
      <w:r w:rsidRPr="002B6F18">
        <w:rPr>
          <w:sz w:val="24"/>
          <w:szCs w:val="24"/>
        </w:rPr>
        <w:t xml:space="preserve"> revenant de 23,0 à 9,</w:t>
      </w:r>
      <w:r w:rsidR="00EA4BB0">
        <w:rPr>
          <w:sz w:val="24"/>
          <w:szCs w:val="24"/>
        </w:rPr>
        <w:t>3</w:t>
      </w:r>
      <w:r w:rsidRPr="002B6F18">
        <w:rPr>
          <w:sz w:val="24"/>
          <w:szCs w:val="24"/>
        </w:rPr>
        <w:t xml:space="preserve"> p.c.  Au niveau des contreparties de M3, les avoirs extérieurs nets ont diminué de 1,4 p.c. contre une augmentation de 29,5 p.c. à la même période de l’année précédente</w:t>
      </w:r>
      <w:r w:rsidR="00227FB0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tandis que la croissance du crédit intérieur a </w:t>
      </w:r>
      <w:r w:rsidR="00227FB0">
        <w:rPr>
          <w:sz w:val="24"/>
          <w:szCs w:val="24"/>
        </w:rPr>
        <w:t xml:space="preserve">fléchi, </w:t>
      </w:r>
      <w:r w:rsidRPr="002B6F18">
        <w:rPr>
          <w:sz w:val="24"/>
          <w:szCs w:val="24"/>
        </w:rPr>
        <w:t>revenant de 18,3 à 10,3 p.c.</w:t>
      </w:r>
    </w:p>
    <w:p w:rsidR="008B68AD" w:rsidRPr="002B6F18" w:rsidRDefault="008B68AD" w:rsidP="00C63362">
      <w:pPr>
        <w:pStyle w:val="Titre2"/>
        <w:spacing w:after="120"/>
        <w:rPr>
          <w:rFonts w:ascii="Calibri" w:hAnsi="Calibri"/>
          <w:b w:val="0"/>
          <w:color w:val="00B0F0"/>
          <w:sz w:val="24"/>
          <w:szCs w:val="24"/>
        </w:rPr>
      </w:pPr>
      <w:bookmarkStart w:id="14" w:name="_Toc393361858"/>
      <w:r w:rsidRPr="002B6F18">
        <w:rPr>
          <w:rFonts w:ascii="Calibri" w:hAnsi="Calibri"/>
          <w:color w:val="00B0F0"/>
          <w:sz w:val="24"/>
          <w:szCs w:val="24"/>
        </w:rPr>
        <w:t>Base monétaire</w:t>
      </w:r>
      <w:bookmarkEnd w:id="14"/>
    </w:p>
    <w:p w:rsidR="008B68AD" w:rsidRPr="00EC7A33" w:rsidRDefault="008B68AD" w:rsidP="00EC7A33">
      <w:pPr>
        <w:pStyle w:val="Retraitcorpsdetexte3"/>
        <w:spacing w:after="120" w:line="276" w:lineRule="auto"/>
        <w:ind w:firstLine="0"/>
        <w:rPr>
          <w:rFonts w:eastAsia="Calibri" w:cs="Times New Roman"/>
          <w:color w:val="auto"/>
          <w:sz w:val="24"/>
          <w:szCs w:val="24"/>
          <w:lang w:eastAsia="en-US"/>
        </w:rPr>
      </w:pPr>
      <w:r w:rsidRPr="00EC7A33">
        <w:rPr>
          <w:rFonts w:eastAsia="Calibri" w:cs="Times New Roman"/>
          <w:color w:val="auto"/>
          <w:sz w:val="24"/>
          <w:szCs w:val="24"/>
          <w:lang w:eastAsia="en-US"/>
        </w:rPr>
        <w:t>En glissement annuel, la base monétaire (318.437,4 contre 259.272,8 MBIF) s’est accrue de 59.164,6 MBIF, soit 22,8 p.c.</w:t>
      </w:r>
      <w:r w:rsidR="00FE7C24" w:rsidRPr="00EC7A33">
        <w:rPr>
          <w:rFonts w:eastAsia="Calibri" w:cs="Times New Roman"/>
          <w:color w:val="auto"/>
          <w:sz w:val="24"/>
          <w:szCs w:val="24"/>
          <w:lang w:eastAsia="en-US"/>
        </w:rPr>
        <w:t>, en liaison avec l’</w:t>
      </w:r>
      <w:r w:rsidRPr="00EC7A33">
        <w:rPr>
          <w:rFonts w:eastAsia="Calibri" w:cs="Times New Roman"/>
          <w:color w:val="auto"/>
          <w:sz w:val="24"/>
          <w:szCs w:val="24"/>
          <w:lang w:eastAsia="en-US"/>
        </w:rPr>
        <w:t>augmentation des dépôts du secteur bancaire (+48.105,3 MBIF), de la circulation fiduciaire (+19.745,9 MBIF) et des dépôts divers (+1</w:t>
      </w:r>
      <w:r w:rsidR="00EA4BB0">
        <w:rPr>
          <w:rFonts w:eastAsia="Calibri" w:cs="Times New Roman"/>
          <w:color w:val="auto"/>
          <w:sz w:val="24"/>
          <w:szCs w:val="24"/>
          <w:lang w:eastAsia="en-US"/>
        </w:rPr>
        <w:t>.</w:t>
      </w:r>
      <w:r w:rsidRPr="00EC7A33">
        <w:rPr>
          <w:rFonts w:eastAsia="Calibri" w:cs="Times New Roman"/>
          <w:color w:val="auto"/>
          <w:sz w:val="24"/>
          <w:szCs w:val="24"/>
          <w:lang w:eastAsia="en-US"/>
        </w:rPr>
        <w:t>164,6 MBIF). En revanche, les dépôts des sociétés à participation publique</w:t>
      </w:r>
      <w:r w:rsidR="00597178" w:rsidRPr="00EC7A33">
        <w:rPr>
          <w:rFonts w:eastAsia="Calibri" w:cs="Times New Roman"/>
          <w:color w:val="auto"/>
          <w:sz w:val="24"/>
          <w:szCs w:val="24"/>
          <w:lang w:eastAsia="en-US"/>
        </w:rPr>
        <w:t xml:space="preserve"> </w:t>
      </w:r>
      <w:r w:rsidRPr="00EC7A33">
        <w:rPr>
          <w:rFonts w:eastAsia="Calibri" w:cs="Times New Roman"/>
          <w:color w:val="auto"/>
          <w:sz w:val="24"/>
          <w:szCs w:val="24"/>
          <w:lang w:eastAsia="en-US"/>
        </w:rPr>
        <w:t xml:space="preserve">(-5.508,5 MBIF), des établissements de micro finance </w:t>
      </w:r>
      <w:r w:rsidR="00597178" w:rsidRPr="00EC7A33">
        <w:rPr>
          <w:rFonts w:eastAsia="Calibri" w:cs="Times New Roman"/>
          <w:color w:val="auto"/>
          <w:sz w:val="24"/>
          <w:szCs w:val="24"/>
          <w:lang w:eastAsia="en-US"/>
        </w:rPr>
        <w:t xml:space="preserve">        </w:t>
      </w:r>
      <w:r w:rsidRPr="00EC7A33">
        <w:rPr>
          <w:rFonts w:eastAsia="Calibri" w:cs="Times New Roman"/>
          <w:color w:val="auto"/>
          <w:sz w:val="24"/>
          <w:szCs w:val="24"/>
          <w:lang w:eastAsia="en-US"/>
        </w:rPr>
        <w:t xml:space="preserve">(-3.837,6 MBIF) et des établissements financiers (-505,1 MBIF) ont diminué.  </w:t>
      </w:r>
    </w:p>
    <w:p w:rsidR="008B68AD" w:rsidRPr="002B6F18" w:rsidRDefault="008B68AD" w:rsidP="00C63362">
      <w:pPr>
        <w:pStyle w:val="Titre2"/>
        <w:spacing w:after="120"/>
        <w:rPr>
          <w:rFonts w:ascii="Calibri" w:hAnsi="Calibri"/>
          <w:b w:val="0"/>
          <w:sz w:val="24"/>
          <w:szCs w:val="24"/>
        </w:rPr>
      </w:pPr>
      <w:bookmarkStart w:id="15" w:name="_Toc393361859"/>
      <w:r w:rsidRPr="002B6F18">
        <w:rPr>
          <w:rFonts w:ascii="Calibri" w:hAnsi="Calibri"/>
          <w:color w:val="00B0F0"/>
          <w:sz w:val="24"/>
          <w:szCs w:val="24"/>
        </w:rPr>
        <w:t>Masse monétaire</w:t>
      </w:r>
      <w:bookmarkEnd w:id="15"/>
    </w:p>
    <w:p w:rsidR="008B68AD" w:rsidRPr="002B6F18" w:rsidRDefault="008B68AD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Par rapport à</w:t>
      </w:r>
      <w:r w:rsidR="000562EF" w:rsidRPr="002B6F18">
        <w:rPr>
          <w:sz w:val="24"/>
          <w:szCs w:val="24"/>
        </w:rPr>
        <w:t xml:space="preserve"> celle de</w:t>
      </w:r>
      <w:r w:rsidRPr="002B6F18">
        <w:rPr>
          <w:sz w:val="24"/>
          <w:szCs w:val="24"/>
        </w:rPr>
        <w:t xml:space="preserve"> fin mai 2013, la masse monétaire M3 (969.</w:t>
      </w:r>
      <w:r w:rsidR="00C91C2A" w:rsidRPr="002B6F18">
        <w:rPr>
          <w:sz w:val="24"/>
          <w:szCs w:val="24"/>
        </w:rPr>
        <w:t xml:space="preserve">154,5 contre 886.463,6 MBIF) a </w:t>
      </w:r>
      <w:r w:rsidRPr="002B6F18">
        <w:rPr>
          <w:sz w:val="24"/>
          <w:szCs w:val="24"/>
        </w:rPr>
        <w:t xml:space="preserve">progressé de 82.690,9 MBIF, soit 9,3 p.c. en liaison avec </w:t>
      </w:r>
      <w:r w:rsidRPr="002B6F18">
        <w:rPr>
          <w:sz w:val="24"/>
          <w:szCs w:val="24"/>
        </w:rPr>
        <w:lastRenderedPageBreak/>
        <w:t xml:space="preserve">l’accroissement de la composante M2 (+73.727,2 MBIF) et des dépôts en devises des résidents (+8.963,7 MBIF). </w:t>
      </w:r>
    </w:p>
    <w:p w:rsidR="008B68AD" w:rsidRPr="002B6F18" w:rsidRDefault="008B68AD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L’augmentation de la masse monétaire (M2) </w:t>
      </w:r>
      <w:r w:rsidR="000562EF" w:rsidRPr="002B6F18">
        <w:rPr>
          <w:sz w:val="24"/>
          <w:szCs w:val="24"/>
        </w:rPr>
        <w:t xml:space="preserve">a </w:t>
      </w:r>
      <w:r w:rsidR="001D4B68" w:rsidRPr="002B6F18">
        <w:rPr>
          <w:sz w:val="24"/>
          <w:szCs w:val="24"/>
        </w:rPr>
        <w:t>concerné</w:t>
      </w:r>
      <w:r w:rsidR="000562EF" w:rsidRPr="002B6F18">
        <w:rPr>
          <w:sz w:val="24"/>
          <w:szCs w:val="24"/>
        </w:rPr>
        <w:t xml:space="preserve"> les </w:t>
      </w:r>
      <w:r w:rsidRPr="002B6F18">
        <w:rPr>
          <w:sz w:val="24"/>
          <w:szCs w:val="24"/>
        </w:rPr>
        <w:t xml:space="preserve">disponibilités monétaires (M1) (+35.647,5 MBIF) et </w:t>
      </w:r>
      <w:r w:rsidR="000562EF" w:rsidRPr="002B6F18">
        <w:rPr>
          <w:sz w:val="24"/>
          <w:szCs w:val="24"/>
        </w:rPr>
        <w:t>les</w:t>
      </w:r>
      <w:r w:rsidRPr="002B6F18">
        <w:rPr>
          <w:sz w:val="24"/>
          <w:szCs w:val="24"/>
        </w:rPr>
        <w:t xml:space="preserve"> dépôts à terme en BIF (+38.079,7 MBIF). La hausse des disponibilités monétaires a </w:t>
      </w:r>
      <w:r w:rsidR="001D4B68" w:rsidRPr="002B6F18">
        <w:rPr>
          <w:sz w:val="24"/>
          <w:szCs w:val="24"/>
        </w:rPr>
        <w:t>porté</w:t>
      </w:r>
      <w:r w:rsidR="00597178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à la fois</w:t>
      </w:r>
      <w:r w:rsidR="00597178" w:rsidRPr="002B6F18">
        <w:rPr>
          <w:sz w:val="24"/>
          <w:szCs w:val="24"/>
        </w:rPr>
        <w:t>,</w:t>
      </w:r>
      <w:r w:rsidRPr="002B6F18">
        <w:rPr>
          <w:sz w:val="24"/>
          <w:szCs w:val="24"/>
        </w:rPr>
        <w:t xml:space="preserve"> </w:t>
      </w:r>
      <w:r w:rsidR="001D4B68" w:rsidRPr="002B6F18">
        <w:rPr>
          <w:sz w:val="24"/>
          <w:szCs w:val="24"/>
        </w:rPr>
        <w:t xml:space="preserve">sur </w:t>
      </w:r>
      <w:r w:rsidRPr="002B6F18">
        <w:rPr>
          <w:sz w:val="24"/>
          <w:szCs w:val="24"/>
        </w:rPr>
        <w:t xml:space="preserve">les dépôts à vue (+21.359,4 MBIF) et la circulation fiduciaire hors banques (+14.288,1 MBIF). </w:t>
      </w:r>
    </w:p>
    <w:p w:rsidR="008B68AD" w:rsidRPr="002B6F18" w:rsidRDefault="008B68AD" w:rsidP="00864FD2">
      <w:pPr>
        <w:pStyle w:val="Retraitcorpsdetexte"/>
        <w:spacing w:after="120"/>
        <w:ind w:firstLine="0"/>
        <w:rPr>
          <w:sz w:val="24"/>
        </w:rPr>
      </w:pPr>
      <w:r w:rsidRPr="002B6F18">
        <w:rPr>
          <w:sz w:val="24"/>
        </w:rPr>
        <w:t>L’accroissement des dépôts à vue en BIF a porté sur les dépôts des</w:t>
      </w:r>
      <w:r w:rsidR="000562EF" w:rsidRPr="002B6F18">
        <w:rPr>
          <w:sz w:val="24"/>
        </w:rPr>
        <w:t xml:space="preserve"> particuliers (+5.248.4 MBIF), </w:t>
      </w:r>
      <w:r w:rsidRPr="002B6F18">
        <w:rPr>
          <w:sz w:val="24"/>
        </w:rPr>
        <w:t>des entreprises privées (+18.017,8 MBIF), des sociétés à participation publique (+1.546,9 MBIF) et des administrations locales (</w:t>
      </w:r>
      <w:r w:rsidR="00EA4BB0">
        <w:rPr>
          <w:sz w:val="24"/>
        </w:rPr>
        <w:t>+</w:t>
      </w:r>
      <w:r w:rsidRPr="002B6F18">
        <w:rPr>
          <w:sz w:val="24"/>
        </w:rPr>
        <w:t xml:space="preserve">191,0 MBIF). En revanche, les dépôts regroupés dans les </w:t>
      </w:r>
      <w:r w:rsidR="00C91C2A" w:rsidRPr="002B6F18">
        <w:rPr>
          <w:sz w:val="24"/>
        </w:rPr>
        <w:t>« </w:t>
      </w:r>
      <w:r w:rsidRPr="002B6F18">
        <w:rPr>
          <w:sz w:val="24"/>
        </w:rPr>
        <w:t>autres comptes</w:t>
      </w:r>
      <w:r w:rsidR="00C91C2A" w:rsidRPr="002B6F18">
        <w:rPr>
          <w:sz w:val="24"/>
        </w:rPr>
        <w:t> »</w:t>
      </w:r>
      <w:r w:rsidRPr="002B6F18">
        <w:rPr>
          <w:sz w:val="24"/>
        </w:rPr>
        <w:t xml:space="preserve"> (-3.208,1 MBIF) et ceux des établissements financiers (-436,6 MBIF) se sont inscrits en baisse. </w:t>
      </w:r>
    </w:p>
    <w:p w:rsidR="008B68AD" w:rsidRPr="002B6F18" w:rsidRDefault="008B68AD" w:rsidP="00864FD2">
      <w:pPr>
        <w:pStyle w:val="Retraitcorpsdetexte"/>
        <w:spacing w:after="120"/>
        <w:ind w:firstLine="0"/>
        <w:rPr>
          <w:b/>
          <w:sz w:val="24"/>
        </w:rPr>
      </w:pPr>
      <w:r w:rsidRPr="002B6F18">
        <w:rPr>
          <w:sz w:val="24"/>
        </w:rPr>
        <w:t>L</w:t>
      </w:r>
      <w:r w:rsidR="00C91C2A" w:rsidRPr="002B6F18">
        <w:rPr>
          <w:sz w:val="24"/>
        </w:rPr>
        <w:t xml:space="preserve">a hausse </w:t>
      </w:r>
      <w:r w:rsidRPr="002B6F18">
        <w:rPr>
          <w:sz w:val="24"/>
        </w:rPr>
        <w:t xml:space="preserve">des dépôts à terme et d’épargne en BIF </w:t>
      </w:r>
      <w:r w:rsidR="00C91C2A" w:rsidRPr="002B6F18">
        <w:rPr>
          <w:sz w:val="24"/>
        </w:rPr>
        <w:t>est imputable aux p</w:t>
      </w:r>
      <w:r w:rsidRPr="002B6F18">
        <w:rPr>
          <w:sz w:val="24"/>
        </w:rPr>
        <w:t xml:space="preserve">lacements des particuliers (+14.554,5 MBIF), des entreprises privées (+7.098,9 MBIF) et </w:t>
      </w:r>
      <w:r w:rsidR="00C91C2A" w:rsidRPr="002B6F18">
        <w:rPr>
          <w:sz w:val="24"/>
        </w:rPr>
        <w:t>aux dépôts à terme et d’épargne</w:t>
      </w:r>
      <w:r w:rsidRPr="002B6F18">
        <w:rPr>
          <w:sz w:val="24"/>
        </w:rPr>
        <w:t xml:space="preserve"> regroupés dans les « autres comptes » (+26.038,6 MBIF)</w:t>
      </w:r>
      <w:r w:rsidR="00C91C2A" w:rsidRPr="002B6F18">
        <w:rPr>
          <w:sz w:val="24"/>
        </w:rPr>
        <w:t>. En revanche, ceux des sociétés à</w:t>
      </w:r>
      <w:r w:rsidRPr="002B6F18">
        <w:rPr>
          <w:sz w:val="24"/>
        </w:rPr>
        <w:t xml:space="preserve"> participation publique </w:t>
      </w:r>
      <w:r w:rsidR="00C91C2A" w:rsidRPr="002B6F18">
        <w:rPr>
          <w:sz w:val="24"/>
        </w:rPr>
        <w:t>ont</w:t>
      </w:r>
      <w:r w:rsidRPr="002B6F18">
        <w:rPr>
          <w:sz w:val="24"/>
        </w:rPr>
        <w:t xml:space="preserve"> diminué de 9.626,8 MBIF.</w:t>
      </w:r>
      <w:r w:rsidRPr="002B6F18">
        <w:rPr>
          <w:color w:val="FF0000"/>
          <w:sz w:val="24"/>
        </w:rPr>
        <w:t xml:space="preserve"> </w:t>
      </w:r>
    </w:p>
    <w:p w:rsidR="008B68AD" w:rsidRPr="002B6F18" w:rsidRDefault="008B68AD" w:rsidP="00864FD2">
      <w:pPr>
        <w:pStyle w:val="Retraitcorpsdetexte"/>
        <w:spacing w:after="120"/>
        <w:ind w:firstLine="0"/>
        <w:rPr>
          <w:color w:val="FF0000"/>
          <w:sz w:val="24"/>
        </w:rPr>
      </w:pPr>
      <w:r w:rsidRPr="002B6F18">
        <w:rPr>
          <w:sz w:val="24"/>
        </w:rPr>
        <w:t xml:space="preserve">L’augmentation des dépôts en devises des résidents a </w:t>
      </w:r>
      <w:r w:rsidR="00597178" w:rsidRPr="002B6F18">
        <w:rPr>
          <w:sz w:val="24"/>
        </w:rPr>
        <w:t xml:space="preserve">résulté </w:t>
      </w:r>
      <w:r w:rsidR="00E26FAB" w:rsidRPr="002B6F18">
        <w:rPr>
          <w:sz w:val="24"/>
        </w:rPr>
        <w:t xml:space="preserve">principalement </w:t>
      </w:r>
      <w:r w:rsidR="00597178" w:rsidRPr="002B6F18">
        <w:rPr>
          <w:sz w:val="24"/>
        </w:rPr>
        <w:t xml:space="preserve">de la hausse des avoirs </w:t>
      </w:r>
      <w:r w:rsidRPr="002B6F18">
        <w:rPr>
          <w:sz w:val="24"/>
        </w:rPr>
        <w:t xml:space="preserve">des particuliers (+7.927,1 MBIF) et des entreprises privées (+8.065,3 MBIF) qui </w:t>
      </w:r>
      <w:r w:rsidR="00597178" w:rsidRPr="002B6F18">
        <w:rPr>
          <w:sz w:val="24"/>
        </w:rPr>
        <w:t>a</w:t>
      </w:r>
      <w:r w:rsidRPr="002B6F18">
        <w:rPr>
          <w:sz w:val="24"/>
        </w:rPr>
        <w:t xml:space="preserve"> contrebalancé la </w:t>
      </w:r>
      <w:r w:rsidR="00E26FAB" w:rsidRPr="002B6F18">
        <w:rPr>
          <w:sz w:val="24"/>
        </w:rPr>
        <w:t>baisse</w:t>
      </w:r>
      <w:r w:rsidRPr="002B6F18">
        <w:rPr>
          <w:sz w:val="24"/>
        </w:rPr>
        <w:t xml:space="preserve"> des dépôts des sociétés à participation publique (-5.232,0 MBIF)</w:t>
      </w:r>
      <w:r w:rsidR="00E26FAB" w:rsidRPr="002B6F18">
        <w:rPr>
          <w:sz w:val="24"/>
        </w:rPr>
        <w:t xml:space="preserve"> et</w:t>
      </w:r>
      <w:r w:rsidRPr="002B6F18">
        <w:rPr>
          <w:sz w:val="24"/>
        </w:rPr>
        <w:t xml:space="preserve"> </w:t>
      </w:r>
      <w:r w:rsidR="00E26FAB" w:rsidRPr="002B6F18">
        <w:rPr>
          <w:sz w:val="24"/>
        </w:rPr>
        <w:t xml:space="preserve">ceux qui sont </w:t>
      </w:r>
      <w:r w:rsidR="00C91C2A" w:rsidRPr="002B6F18">
        <w:rPr>
          <w:sz w:val="24"/>
        </w:rPr>
        <w:t xml:space="preserve"> </w:t>
      </w:r>
      <w:r w:rsidRPr="002B6F18">
        <w:rPr>
          <w:sz w:val="24"/>
        </w:rPr>
        <w:t xml:space="preserve">regroupés dans les </w:t>
      </w:r>
      <w:r w:rsidR="00C91C2A" w:rsidRPr="002B6F18">
        <w:rPr>
          <w:sz w:val="24"/>
        </w:rPr>
        <w:t>« </w:t>
      </w:r>
      <w:r w:rsidRPr="002B6F18">
        <w:rPr>
          <w:sz w:val="24"/>
        </w:rPr>
        <w:t>autres comptes</w:t>
      </w:r>
      <w:r w:rsidR="00C91C2A" w:rsidRPr="002B6F18">
        <w:rPr>
          <w:sz w:val="24"/>
        </w:rPr>
        <w:t> »</w:t>
      </w:r>
      <w:r w:rsidRPr="002B6F18">
        <w:rPr>
          <w:sz w:val="24"/>
        </w:rPr>
        <w:t xml:space="preserve"> (-1.315,5 MBIF).</w:t>
      </w:r>
    </w:p>
    <w:p w:rsidR="008B68AD" w:rsidRPr="002B6F18" w:rsidRDefault="008B68AD" w:rsidP="00C63362">
      <w:pPr>
        <w:pStyle w:val="Titre2"/>
        <w:spacing w:after="120"/>
        <w:rPr>
          <w:rFonts w:ascii="Calibri" w:hAnsi="Calibri"/>
          <w:sz w:val="24"/>
          <w:szCs w:val="24"/>
        </w:rPr>
      </w:pPr>
      <w:bookmarkStart w:id="16" w:name="_Toc393361860"/>
      <w:r w:rsidRPr="002B6F18">
        <w:rPr>
          <w:rFonts w:ascii="Calibri" w:hAnsi="Calibri"/>
          <w:color w:val="00B0F0"/>
          <w:sz w:val="24"/>
          <w:szCs w:val="24"/>
        </w:rPr>
        <w:t>Contreparties</w:t>
      </w:r>
      <w:bookmarkEnd w:id="16"/>
    </w:p>
    <w:p w:rsidR="008B68AD" w:rsidRPr="002B6F18" w:rsidRDefault="008B68AD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S’établissant à 1.049.029,5 contre 949.727,1 MBIF à fin mai 2</w:t>
      </w:r>
      <w:r w:rsidR="00E26FAB" w:rsidRPr="002B6F18">
        <w:rPr>
          <w:sz w:val="24"/>
          <w:szCs w:val="24"/>
        </w:rPr>
        <w:t xml:space="preserve">013, le crédit </w:t>
      </w:r>
      <w:r w:rsidR="00E26FAB" w:rsidRPr="002B6F18">
        <w:rPr>
          <w:sz w:val="24"/>
          <w:szCs w:val="24"/>
        </w:rPr>
        <w:lastRenderedPageBreak/>
        <w:t>intérieur s’est a</w:t>
      </w:r>
      <w:r w:rsidRPr="002B6F18">
        <w:rPr>
          <w:sz w:val="24"/>
          <w:szCs w:val="24"/>
        </w:rPr>
        <w:t xml:space="preserve">ccru de 99.302,4 MBIF, soit 10,5 p.c., en rapport avec l’augmentation des créances nettes sur l’Etat (+77.461,2 MBIF) et </w:t>
      </w:r>
      <w:r w:rsidR="00A30A7F">
        <w:rPr>
          <w:sz w:val="24"/>
          <w:szCs w:val="24"/>
        </w:rPr>
        <w:t xml:space="preserve">des créances </w:t>
      </w:r>
      <w:r w:rsidR="00EA4BB0">
        <w:rPr>
          <w:sz w:val="24"/>
          <w:szCs w:val="24"/>
        </w:rPr>
        <w:t>s</w:t>
      </w:r>
      <w:r w:rsidRPr="002B6F18">
        <w:rPr>
          <w:sz w:val="24"/>
          <w:szCs w:val="24"/>
        </w:rPr>
        <w:t>ur l’économie (+21.841,2 MBIF).</w:t>
      </w:r>
    </w:p>
    <w:p w:rsidR="008B68AD" w:rsidRPr="002B6F18" w:rsidRDefault="008B68AD" w:rsidP="00864FD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L’accroissement de l’endettement net de l’Etat a principalement résulté de la hausse de l’encours des Bons et Obligations du Trésor détenus par les banques commerciales (+62.741,8 MBIF) et des avances de la Banque Centrale (+9.592,3 MBIF) </w:t>
      </w:r>
      <w:r w:rsidR="00EB474D" w:rsidRPr="002B6F18">
        <w:rPr>
          <w:sz w:val="24"/>
          <w:szCs w:val="24"/>
        </w:rPr>
        <w:t>ainsi que</w:t>
      </w:r>
      <w:r w:rsidR="00C91C2A" w:rsidRPr="002B6F18">
        <w:rPr>
          <w:sz w:val="24"/>
          <w:szCs w:val="24"/>
        </w:rPr>
        <w:t xml:space="preserve"> de la </w:t>
      </w:r>
      <w:r w:rsidRPr="002B6F18">
        <w:rPr>
          <w:sz w:val="24"/>
          <w:szCs w:val="24"/>
        </w:rPr>
        <w:t xml:space="preserve">diminution des dépôts du secteur gouvernemental </w:t>
      </w:r>
      <w:r w:rsidR="00EB474D" w:rsidRPr="002B6F18">
        <w:rPr>
          <w:sz w:val="24"/>
          <w:szCs w:val="24"/>
        </w:rPr>
        <w:t xml:space="preserve">    </w:t>
      </w:r>
      <w:r w:rsidRPr="002B6F18">
        <w:rPr>
          <w:sz w:val="24"/>
          <w:szCs w:val="24"/>
        </w:rPr>
        <w:t xml:space="preserve">(-4.146,9 MBIF).  </w:t>
      </w:r>
    </w:p>
    <w:p w:rsidR="008B68AD" w:rsidRPr="002B6F18" w:rsidRDefault="008B68AD" w:rsidP="00FE7C24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La progression des créances sur l’économie a concerné principalement les financements à moyen (+5.507,5 MBIF) et long termes (+19.255,6 MBIF), les concours divers (+19.699,0 MBIF) et les crédits à l’exportation (</w:t>
      </w:r>
      <w:r w:rsidR="00EA4BB0">
        <w:rPr>
          <w:sz w:val="24"/>
          <w:szCs w:val="24"/>
        </w:rPr>
        <w:t>+</w:t>
      </w:r>
      <w:r w:rsidRPr="002B6F18">
        <w:rPr>
          <w:sz w:val="24"/>
          <w:szCs w:val="24"/>
        </w:rPr>
        <w:t>3.174,1 MBIF). Pour leur part, les crédits de trésorerie</w:t>
      </w:r>
      <w:r w:rsidR="00864FD2" w:rsidRPr="002B6F18">
        <w:rPr>
          <w:sz w:val="24"/>
          <w:szCs w:val="24"/>
        </w:rPr>
        <w:t xml:space="preserve">    </w:t>
      </w:r>
      <w:r w:rsidRPr="002B6F18">
        <w:rPr>
          <w:sz w:val="24"/>
          <w:szCs w:val="24"/>
        </w:rPr>
        <w:t xml:space="preserve"> (-32.655,4 MBIF) et à l’importation (-435,1 MBIF) ont diminué.</w:t>
      </w:r>
    </w:p>
    <w:p w:rsidR="00C57193" w:rsidRDefault="008B68AD" w:rsidP="00C63362">
      <w:pPr>
        <w:spacing w:after="120"/>
        <w:jc w:val="both"/>
        <w:rPr>
          <w:b/>
          <w:color w:val="00B0F0"/>
          <w:sz w:val="24"/>
          <w:szCs w:val="24"/>
        </w:rPr>
      </w:pPr>
      <w:r w:rsidRPr="002B6F18">
        <w:rPr>
          <w:sz w:val="24"/>
          <w:szCs w:val="24"/>
        </w:rPr>
        <w:t>Revenant de 186.361,1 à 183.785,6 MBIF de mai 2013 à mai 2014, les avoirs extérieurs nets se sont contractés de 2.575,5 MBIF, soit -1,4 p.c. Exprimées en dollars américains, les réserves de change nettes ont baissé de 1,8 p.c., se fixant à 118,9 contre 121,0 millions</w:t>
      </w:r>
      <w:r w:rsidR="00EA4BB0">
        <w:rPr>
          <w:sz w:val="24"/>
          <w:szCs w:val="24"/>
        </w:rPr>
        <w:t>.</w:t>
      </w:r>
      <w:r w:rsidRPr="002B6F18">
        <w:rPr>
          <w:sz w:val="24"/>
          <w:szCs w:val="24"/>
        </w:rPr>
        <w:t xml:space="preserve"> </w:t>
      </w:r>
      <w:bookmarkStart w:id="17" w:name="_Toc393361861"/>
    </w:p>
    <w:p w:rsidR="00C57193" w:rsidRDefault="00C57193" w:rsidP="00C63362">
      <w:pPr>
        <w:spacing w:after="120"/>
        <w:jc w:val="both"/>
        <w:rPr>
          <w:b/>
          <w:color w:val="00B0F0"/>
          <w:sz w:val="24"/>
          <w:szCs w:val="24"/>
        </w:rPr>
      </w:pPr>
    </w:p>
    <w:p w:rsidR="00C57193" w:rsidRDefault="00C57193" w:rsidP="00C63362">
      <w:pPr>
        <w:spacing w:after="120"/>
        <w:jc w:val="both"/>
        <w:rPr>
          <w:b/>
          <w:color w:val="00B0F0"/>
          <w:sz w:val="24"/>
          <w:szCs w:val="24"/>
        </w:rPr>
      </w:pPr>
    </w:p>
    <w:p w:rsidR="00C57193" w:rsidRDefault="00C57193" w:rsidP="00C63362">
      <w:pPr>
        <w:spacing w:after="120"/>
        <w:jc w:val="both"/>
        <w:rPr>
          <w:b/>
          <w:color w:val="00B0F0"/>
          <w:sz w:val="24"/>
          <w:szCs w:val="24"/>
        </w:rPr>
      </w:pPr>
    </w:p>
    <w:p w:rsidR="00C57193" w:rsidRDefault="00C57193" w:rsidP="00C63362">
      <w:pPr>
        <w:spacing w:after="120"/>
        <w:jc w:val="both"/>
        <w:rPr>
          <w:b/>
          <w:color w:val="00B0F0"/>
          <w:sz w:val="24"/>
          <w:szCs w:val="24"/>
        </w:rPr>
      </w:pPr>
    </w:p>
    <w:p w:rsidR="00C57193" w:rsidRDefault="00C57193" w:rsidP="00C63362">
      <w:pPr>
        <w:spacing w:after="120"/>
        <w:jc w:val="both"/>
        <w:rPr>
          <w:b/>
          <w:color w:val="00B0F0"/>
          <w:sz w:val="24"/>
          <w:szCs w:val="24"/>
        </w:rPr>
      </w:pPr>
    </w:p>
    <w:p w:rsidR="00C57193" w:rsidRDefault="00C57193" w:rsidP="00C63362">
      <w:pPr>
        <w:spacing w:after="120"/>
        <w:jc w:val="both"/>
        <w:rPr>
          <w:b/>
          <w:color w:val="00B0F0"/>
          <w:sz w:val="24"/>
          <w:szCs w:val="24"/>
        </w:rPr>
      </w:pPr>
    </w:p>
    <w:p w:rsidR="00DF3479" w:rsidRDefault="00DF3479" w:rsidP="00C63362">
      <w:pPr>
        <w:spacing w:after="120"/>
        <w:jc w:val="both"/>
        <w:rPr>
          <w:b/>
          <w:color w:val="00B0F0"/>
          <w:sz w:val="24"/>
          <w:szCs w:val="24"/>
        </w:rPr>
      </w:pPr>
    </w:p>
    <w:p w:rsidR="000A24B0" w:rsidRDefault="00C57B02" w:rsidP="00C63362">
      <w:pPr>
        <w:spacing w:after="120"/>
        <w:jc w:val="both"/>
        <w:rPr>
          <w:b/>
          <w:color w:val="00B0F0"/>
          <w:sz w:val="24"/>
          <w:szCs w:val="24"/>
        </w:rPr>
      </w:pPr>
      <w:r w:rsidRPr="002B6F18">
        <w:rPr>
          <w:b/>
          <w:color w:val="00B0F0"/>
          <w:sz w:val="24"/>
          <w:szCs w:val="24"/>
        </w:rPr>
        <w:lastRenderedPageBreak/>
        <w:t>VI. COMMERCE EXTERIEUR</w:t>
      </w:r>
      <w:bookmarkEnd w:id="17"/>
    </w:p>
    <w:p w:rsidR="00FE7C24" w:rsidRPr="002B6F18" w:rsidRDefault="00FE7C24" w:rsidP="00FE7C24">
      <w:pPr>
        <w:pStyle w:val="Titre2"/>
        <w:spacing w:after="120"/>
        <w:jc w:val="both"/>
        <w:rPr>
          <w:rFonts w:ascii="Calibri" w:hAnsi="Calibri"/>
          <w:b w:val="0"/>
          <w:color w:val="auto"/>
          <w:sz w:val="24"/>
          <w:szCs w:val="24"/>
        </w:rPr>
      </w:pPr>
      <w:bookmarkStart w:id="18" w:name="_Toc393361862"/>
      <w:r w:rsidRPr="002B6F18">
        <w:rPr>
          <w:rFonts w:ascii="Calibri" w:hAnsi="Calibri"/>
          <w:b w:val="0"/>
          <w:color w:val="auto"/>
          <w:sz w:val="24"/>
          <w:szCs w:val="24"/>
        </w:rPr>
        <w:t xml:space="preserve">A fin mai 2014, le commerce </w:t>
      </w:r>
      <w:r w:rsidR="00B11B03">
        <w:rPr>
          <w:rFonts w:ascii="Calibri" w:hAnsi="Calibri"/>
          <w:b w:val="0"/>
          <w:color w:val="auto"/>
          <w:sz w:val="24"/>
          <w:szCs w:val="24"/>
        </w:rPr>
        <w:t>e</w:t>
      </w:r>
      <w:r w:rsidRPr="002B6F18">
        <w:rPr>
          <w:rFonts w:ascii="Calibri" w:hAnsi="Calibri"/>
          <w:b w:val="0"/>
          <w:color w:val="auto"/>
          <w:sz w:val="24"/>
          <w:szCs w:val="24"/>
        </w:rPr>
        <w:t>xt</w:t>
      </w:r>
      <w:r w:rsidR="00B11B03">
        <w:rPr>
          <w:rFonts w:ascii="Calibri" w:hAnsi="Calibri"/>
          <w:b w:val="0"/>
          <w:color w:val="auto"/>
          <w:sz w:val="24"/>
          <w:szCs w:val="24"/>
        </w:rPr>
        <w:t>é</w:t>
      </w:r>
      <w:r w:rsidRPr="002B6F18">
        <w:rPr>
          <w:rFonts w:ascii="Calibri" w:hAnsi="Calibri"/>
          <w:b w:val="0"/>
          <w:color w:val="auto"/>
          <w:sz w:val="24"/>
          <w:szCs w:val="24"/>
        </w:rPr>
        <w:t>rieur s’est caractérisé par une hausse des exportations (+6,3 p.c.) et une baisse des importations (</w:t>
      </w:r>
      <w:r w:rsidR="00D76E63">
        <w:rPr>
          <w:rFonts w:ascii="Calibri" w:hAnsi="Calibri"/>
          <w:b w:val="0"/>
          <w:color w:val="auto"/>
          <w:sz w:val="24"/>
          <w:szCs w:val="24"/>
        </w:rPr>
        <w:t>-</w:t>
      </w:r>
      <w:r w:rsidRPr="002B6F18">
        <w:rPr>
          <w:rFonts w:ascii="Calibri" w:hAnsi="Calibri"/>
          <w:b w:val="0"/>
          <w:color w:val="auto"/>
          <w:sz w:val="24"/>
          <w:szCs w:val="24"/>
        </w:rPr>
        <w:t>16,5 p.c.), dégageant ainsi un déficit allégé de la balance commerciale de 408.549,5 contre 503.438,4 MBIF</w:t>
      </w:r>
      <w:r w:rsidR="00D76E63">
        <w:rPr>
          <w:rFonts w:ascii="Calibri" w:hAnsi="Calibri"/>
          <w:b w:val="0"/>
          <w:color w:val="auto"/>
          <w:sz w:val="24"/>
          <w:szCs w:val="24"/>
        </w:rPr>
        <w:t xml:space="preserve"> au cours de la période correspondante de 2013</w:t>
      </w:r>
      <w:r w:rsidRPr="002B6F18">
        <w:rPr>
          <w:rFonts w:ascii="Calibri" w:hAnsi="Calibri"/>
          <w:b w:val="0"/>
          <w:color w:val="auto"/>
          <w:sz w:val="24"/>
          <w:szCs w:val="24"/>
        </w:rPr>
        <w:t>.</w:t>
      </w:r>
    </w:p>
    <w:p w:rsidR="000A24B0" w:rsidRPr="002B6F18" w:rsidRDefault="000A24B0" w:rsidP="00C63362">
      <w:pPr>
        <w:pStyle w:val="Titre2"/>
        <w:spacing w:after="120"/>
        <w:rPr>
          <w:rFonts w:ascii="Calibri" w:hAnsi="Calibri"/>
          <w:b w:val="0"/>
          <w:color w:val="00B0F0"/>
          <w:sz w:val="24"/>
          <w:szCs w:val="24"/>
        </w:rPr>
      </w:pPr>
      <w:r w:rsidRPr="002B6F18">
        <w:rPr>
          <w:rFonts w:ascii="Calibri" w:hAnsi="Calibri"/>
          <w:color w:val="00B0F0"/>
          <w:sz w:val="24"/>
          <w:szCs w:val="24"/>
        </w:rPr>
        <w:t>Exportations</w:t>
      </w:r>
      <w:bookmarkEnd w:id="18"/>
    </w:p>
    <w:p w:rsidR="000A24B0" w:rsidRPr="002B6F18" w:rsidRDefault="00EB474D" w:rsidP="00C57B0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Par rapport à la période correspondante de 2013, l</w:t>
      </w:r>
      <w:r w:rsidR="000A24B0" w:rsidRPr="002B6F18">
        <w:rPr>
          <w:sz w:val="24"/>
          <w:szCs w:val="24"/>
        </w:rPr>
        <w:t xml:space="preserve">es exportations cumulées à fin mai 2014 </w:t>
      </w:r>
      <w:r w:rsidRPr="002B6F18">
        <w:rPr>
          <w:sz w:val="24"/>
          <w:szCs w:val="24"/>
        </w:rPr>
        <w:t>se sont accrues</w:t>
      </w:r>
      <w:r w:rsidR="000A24B0" w:rsidRPr="002B6F18">
        <w:rPr>
          <w:sz w:val="24"/>
          <w:szCs w:val="24"/>
        </w:rPr>
        <w:t xml:space="preserve"> en valeur </w:t>
      </w:r>
      <w:r w:rsidRPr="002B6F18">
        <w:rPr>
          <w:sz w:val="24"/>
          <w:szCs w:val="24"/>
        </w:rPr>
        <w:t>et</w:t>
      </w:r>
      <w:r w:rsidR="000A24B0" w:rsidRPr="002B6F18">
        <w:rPr>
          <w:sz w:val="24"/>
          <w:szCs w:val="24"/>
        </w:rPr>
        <w:t xml:space="preserve"> en volume, passant respectivement de 49.937,3 à 53.083,4 MBIF et de 17.430 à 28.834 T.</w:t>
      </w:r>
    </w:p>
    <w:p w:rsidR="000A24B0" w:rsidRPr="002B6F18" w:rsidRDefault="000A24B0" w:rsidP="00C57B0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En valeur, cette augmentation a </w:t>
      </w:r>
      <w:r w:rsidR="00EB474D" w:rsidRPr="002B6F18">
        <w:rPr>
          <w:sz w:val="24"/>
          <w:szCs w:val="24"/>
        </w:rPr>
        <w:t>porté sur les</w:t>
      </w:r>
      <w:r w:rsidRPr="002B6F18">
        <w:rPr>
          <w:sz w:val="24"/>
          <w:szCs w:val="24"/>
        </w:rPr>
        <w:t xml:space="preserve"> expéditions des produits manufacturés (21.866,6 contre 13.042,7 MBIF)</w:t>
      </w:r>
      <w:r w:rsidR="00EB474D" w:rsidRPr="002B6F18">
        <w:rPr>
          <w:sz w:val="24"/>
          <w:szCs w:val="24"/>
        </w:rPr>
        <w:t>, les exportations</w:t>
      </w:r>
      <w:r w:rsidRPr="002B6F18">
        <w:rPr>
          <w:sz w:val="24"/>
          <w:szCs w:val="24"/>
        </w:rPr>
        <w:t xml:space="preserve"> </w:t>
      </w:r>
      <w:r w:rsidR="00E71C63" w:rsidRPr="002B6F18">
        <w:rPr>
          <w:sz w:val="24"/>
          <w:szCs w:val="24"/>
        </w:rPr>
        <w:t xml:space="preserve">des </w:t>
      </w:r>
      <w:r w:rsidR="00EB474D" w:rsidRPr="002B6F18">
        <w:rPr>
          <w:sz w:val="24"/>
          <w:szCs w:val="24"/>
        </w:rPr>
        <w:t>produits primaires (31.216,6 contre 36.894,6 MBIF)</w:t>
      </w:r>
      <w:r w:rsidR="00E71C63" w:rsidRPr="002B6F18">
        <w:rPr>
          <w:sz w:val="24"/>
          <w:szCs w:val="24"/>
        </w:rPr>
        <w:t xml:space="preserve"> ayant baissé. L’augmentation des exportations des </w:t>
      </w:r>
      <w:r w:rsidR="00EB474D" w:rsidRPr="002B6F18">
        <w:rPr>
          <w:sz w:val="24"/>
          <w:szCs w:val="24"/>
        </w:rPr>
        <w:t xml:space="preserve">produits </w:t>
      </w:r>
      <w:r w:rsidR="00E26FAB" w:rsidRPr="002B6F18">
        <w:rPr>
          <w:sz w:val="24"/>
          <w:szCs w:val="24"/>
        </w:rPr>
        <w:t>manufacturés</w:t>
      </w:r>
      <w:r w:rsidR="00E71C63" w:rsidRPr="002B6F18">
        <w:rPr>
          <w:sz w:val="24"/>
          <w:szCs w:val="24"/>
        </w:rPr>
        <w:t xml:space="preserve"> a concerné </w:t>
      </w:r>
      <w:r w:rsidRPr="002B6F18">
        <w:rPr>
          <w:sz w:val="24"/>
          <w:szCs w:val="24"/>
        </w:rPr>
        <w:t xml:space="preserve"> essentiellement les bières (2.935,7 contre 1.085,8 MBIF) et les autres produits  manufacturés (11.618,6 contre 3.934,4 MBIF)</w:t>
      </w:r>
      <w:r w:rsidR="00E71C63" w:rsidRPr="002B6F18">
        <w:rPr>
          <w:sz w:val="24"/>
          <w:szCs w:val="24"/>
        </w:rPr>
        <w:t>. En revanche, la baisse des expéditions des produits primaires a affecté</w:t>
      </w:r>
      <w:r w:rsidRPr="002B6F18">
        <w:rPr>
          <w:sz w:val="24"/>
          <w:szCs w:val="24"/>
        </w:rPr>
        <w:t xml:space="preserve"> principalement le café (8.888,1 contre 14.448,0 MBIF) et le thé (14.550,9 contre 15.412,4 MBIF).</w:t>
      </w:r>
    </w:p>
    <w:p w:rsidR="000A24B0" w:rsidRPr="002B6F18" w:rsidRDefault="000A24B0" w:rsidP="00C57B0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En volume, l’augmentation </w:t>
      </w:r>
      <w:r w:rsidR="00E71C63" w:rsidRPr="002B6F18">
        <w:rPr>
          <w:sz w:val="24"/>
          <w:szCs w:val="24"/>
        </w:rPr>
        <w:t>a concerné</w:t>
      </w:r>
      <w:r w:rsidR="004B7D2D" w:rsidRPr="002B6F18">
        <w:rPr>
          <w:sz w:val="24"/>
          <w:szCs w:val="24"/>
        </w:rPr>
        <w:t xml:space="preserve"> aussi bien</w:t>
      </w:r>
      <w:r w:rsidRPr="002B6F18">
        <w:rPr>
          <w:sz w:val="24"/>
          <w:szCs w:val="24"/>
        </w:rPr>
        <w:t xml:space="preserve"> </w:t>
      </w:r>
      <w:r w:rsidR="008E283E" w:rsidRPr="002B6F18">
        <w:rPr>
          <w:sz w:val="24"/>
          <w:szCs w:val="24"/>
        </w:rPr>
        <w:t xml:space="preserve">les produits </w:t>
      </w:r>
      <w:r w:rsidRPr="002B6F18">
        <w:rPr>
          <w:sz w:val="24"/>
          <w:szCs w:val="24"/>
        </w:rPr>
        <w:t>pri</w:t>
      </w:r>
      <w:r w:rsidR="008E283E" w:rsidRPr="002B6F18">
        <w:rPr>
          <w:sz w:val="24"/>
          <w:szCs w:val="24"/>
        </w:rPr>
        <w:t xml:space="preserve">maires (11.729 contre 10.008 T) </w:t>
      </w:r>
      <w:r w:rsidR="004B7D2D" w:rsidRPr="002B6F18">
        <w:rPr>
          <w:sz w:val="24"/>
          <w:szCs w:val="24"/>
        </w:rPr>
        <w:t>que</w:t>
      </w:r>
      <w:r w:rsidR="008E283E" w:rsidRPr="002B6F18">
        <w:rPr>
          <w:sz w:val="24"/>
          <w:szCs w:val="24"/>
        </w:rPr>
        <w:t xml:space="preserve"> les produits manufacturés (17.105 contre 7.422 T</w:t>
      </w:r>
      <w:r w:rsidR="008A73F7" w:rsidRPr="002B6F18">
        <w:rPr>
          <w:sz w:val="24"/>
          <w:szCs w:val="24"/>
        </w:rPr>
        <w:t xml:space="preserve">). </w:t>
      </w:r>
      <w:r w:rsidR="008E283E" w:rsidRPr="002B6F18">
        <w:rPr>
          <w:sz w:val="24"/>
          <w:szCs w:val="24"/>
        </w:rPr>
        <w:t>La hausse des expéditions des produits primaire</w:t>
      </w:r>
      <w:r w:rsidR="005B501F" w:rsidRPr="002B6F18">
        <w:rPr>
          <w:sz w:val="24"/>
          <w:szCs w:val="24"/>
        </w:rPr>
        <w:t>s</w:t>
      </w:r>
      <w:r w:rsidR="008E283E" w:rsidRPr="002B6F18">
        <w:rPr>
          <w:sz w:val="24"/>
          <w:szCs w:val="24"/>
        </w:rPr>
        <w:t xml:space="preserve"> a porté </w:t>
      </w:r>
      <w:r w:rsidR="004B7D2D" w:rsidRPr="002B6F18">
        <w:rPr>
          <w:sz w:val="24"/>
          <w:szCs w:val="24"/>
        </w:rPr>
        <w:t xml:space="preserve">principalement </w:t>
      </w:r>
      <w:r w:rsidR="008E283E" w:rsidRPr="002B6F18">
        <w:rPr>
          <w:sz w:val="24"/>
          <w:szCs w:val="24"/>
        </w:rPr>
        <w:t xml:space="preserve">sur </w:t>
      </w:r>
      <w:r w:rsidR="004B7D2D" w:rsidRPr="002B6F18">
        <w:rPr>
          <w:sz w:val="24"/>
          <w:szCs w:val="24"/>
        </w:rPr>
        <w:t xml:space="preserve">les autres produits primaires (4.010 contre 1.269 T), </w:t>
      </w:r>
      <w:r w:rsidRPr="002B6F18">
        <w:rPr>
          <w:sz w:val="24"/>
          <w:szCs w:val="24"/>
        </w:rPr>
        <w:t>le thé (4.287.1 contre 3.645.8 T)</w:t>
      </w:r>
      <w:r w:rsidR="004B7D2D" w:rsidRPr="002B6F18">
        <w:rPr>
          <w:sz w:val="24"/>
          <w:szCs w:val="24"/>
        </w:rPr>
        <w:t xml:space="preserve"> </w:t>
      </w:r>
      <w:r w:rsidR="004B7D2D" w:rsidRPr="002B6F18">
        <w:rPr>
          <w:sz w:val="24"/>
          <w:szCs w:val="24"/>
        </w:rPr>
        <w:lastRenderedPageBreak/>
        <w:t>et</w:t>
      </w:r>
      <w:r w:rsidRPr="002B6F18">
        <w:rPr>
          <w:sz w:val="24"/>
          <w:szCs w:val="24"/>
        </w:rPr>
        <w:t xml:space="preserve"> les minerais </w:t>
      </w:r>
      <w:r w:rsidR="008E283E" w:rsidRPr="002B6F18">
        <w:rPr>
          <w:sz w:val="24"/>
          <w:szCs w:val="24"/>
        </w:rPr>
        <w:t>(172</w:t>
      </w:r>
      <w:r w:rsidRPr="002B6F18">
        <w:rPr>
          <w:sz w:val="24"/>
          <w:szCs w:val="24"/>
        </w:rPr>
        <w:t xml:space="preserve"> contre 0,0 T)</w:t>
      </w:r>
      <w:r w:rsidR="008E283E" w:rsidRPr="002B6F18">
        <w:rPr>
          <w:sz w:val="24"/>
          <w:szCs w:val="24"/>
        </w:rPr>
        <w:t>. Pour sa part</w:t>
      </w:r>
      <w:r w:rsidR="00316CAF" w:rsidRPr="002B6F18">
        <w:rPr>
          <w:sz w:val="24"/>
          <w:szCs w:val="24"/>
        </w:rPr>
        <w:t>,</w:t>
      </w:r>
      <w:r w:rsidR="008E283E" w:rsidRPr="002B6F18">
        <w:rPr>
          <w:sz w:val="24"/>
          <w:szCs w:val="24"/>
        </w:rPr>
        <w:t xml:space="preserve"> l’accroissement des produits manu</w:t>
      </w:r>
      <w:r w:rsidR="00316CAF" w:rsidRPr="002B6F18">
        <w:rPr>
          <w:sz w:val="24"/>
          <w:szCs w:val="24"/>
        </w:rPr>
        <w:t xml:space="preserve">facturés a concerné </w:t>
      </w:r>
      <w:r w:rsidRPr="002B6F18">
        <w:rPr>
          <w:sz w:val="24"/>
          <w:szCs w:val="24"/>
        </w:rPr>
        <w:t>la bière (4.</w:t>
      </w:r>
      <w:r w:rsidR="0016294F" w:rsidRPr="002B6F18">
        <w:rPr>
          <w:sz w:val="24"/>
          <w:szCs w:val="24"/>
        </w:rPr>
        <w:t>0</w:t>
      </w:r>
      <w:r w:rsidRPr="002B6F18">
        <w:rPr>
          <w:sz w:val="24"/>
          <w:szCs w:val="24"/>
        </w:rPr>
        <w:t>44 contre 1.449 T) et les autres produits manufacturés (9.403 contre 2.310 T).</w:t>
      </w:r>
    </w:p>
    <w:p w:rsidR="000A24B0" w:rsidRPr="002B6F18" w:rsidRDefault="000A24B0" w:rsidP="00C63362">
      <w:pPr>
        <w:pStyle w:val="Titre2"/>
        <w:spacing w:after="120"/>
        <w:rPr>
          <w:rFonts w:ascii="Calibri" w:hAnsi="Calibri"/>
          <w:b w:val="0"/>
          <w:color w:val="00B0F0"/>
          <w:sz w:val="24"/>
          <w:szCs w:val="24"/>
        </w:rPr>
      </w:pPr>
      <w:bookmarkStart w:id="19" w:name="_Toc393361863"/>
      <w:r w:rsidRPr="002B6F18">
        <w:rPr>
          <w:rFonts w:ascii="Calibri" w:hAnsi="Calibri"/>
          <w:color w:val="00B0F0"/>
          <w:sz w:val="24"/>
          <w:szCs w:val="24"/>
        </w:rPr>
        <w:t>Importations</w:t>
      </w:r>
      <w:bookmarkEnd w:id="19"/>
    </w:p>
    <w:p w:rsidR="000A24B0" w:rsidRPr="002B6F18" w:rsidRDefault="000A24B0" w:rsidP="00C57B0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Les importions cumulées à fin mai 2014 ont </w:t>
      </w:r>
      <w:r w:rsidR="000E58C4" w:rsidRPr="002B6F18">
        <w:rPr>
          <w:sz w:val="24"/>
          <w:szCs w:val="24"/>
        </w:rPr>
        <w:t>diminué</w:t>
      </w:r>
      <w:r w:rsidRPr="002B6F18">
        <w:rPr>
          <w:sz w:val="24"/>
          <w:szCs w:val="24"/>
        </w:rPr>
        <w:t xml:space="preserve"> en valeur (461.633,0 contre 553.375,6 MBIF) tandis qu’elles ont augmenté en volume (330.749 contre 299.364 T)</w:t>
      </w:r>
      <w:r w:rsidR="000E58C4" w:rsidRPr="002B6F18">
        <w:rPr>
          <w:sz w:val="24"/>
          <w:szCs w:val="24"/>
        </w:rPr>
        <w:t xml:space="preserve"> par rapport à la même période de 2013</w:t>
      </w:r>
      <w:r w:rsidRPr="002B6F18">
        <w:rPr>
          <w:sz w:val="24"/>
          <w:szCs w:val="24"/>
        </w:rPr>
        <w:t xml:space="preserve">. </w:t>
      </w:r>
    </w:p>
    <w:p w:rsidR="00311455" w:rsidRPr="002B6F18" w:rsidRDefault="000A24B0" w:rsidP="00311455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En valeur, cette diminution est liée</w:t>
      </w:r>
      <w:r w:rsidR="007C553A" w:rsidRPr="002B6F18">
        <w:rPr>
          <w:sz w:val="24"/>
          <w:szCs w:val="24"/>
        </w:rPr>
        <w:t xml:space="preserve"> principalement </w:t>
      </w:r>
      <w:r w:rsidRPr="002B6F18">
        <w:rPr>
          <w:sz w:val="24"/>
          <w:szCs w:val="24"/>
        </w:rPr>
        <w:t>à la baisse des biens de production (196.683 contre 226.926 MBIF)</w:t>
      </w:r>
      <w:r w:rsidR="00311455" w:rsidRPr="002B6F18">
        <w:rPr>
          <w:sz w:val="24"/>
          <w:szCs w:val="24"/>
        </w:rPr>
        <w:t xml:space="preserve">, des biens d’équipement (102.319 contre 155.667 MBIF) et des biens de consommation (162.632 contre 170.783 MBIF). </w:t>
      </w:r>
    </w:p>
    <w:p w:rsidR="00311455" w:rsidRPr="002B6F18" w:rsidRDefault="000A24B0" w:rsidP="00C57B0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 xml:space="preserve"> </w:t>
      </w:r>
      <w:r w:rsidR="004C62D4" w:rsidRPr="002B6F18">
        <w:rPr>
          <w:sz w:val="24"/>
          <w:szCs w:val="24"/>
        </w:rPr>
        <w:t xml:space="preserve">En volume, l’accroissement des importations </w:t>
      </w:r>
      <w:r w:rsidR="004B7D2D" w:rsidRPr="002B6F18">
        <w:rPr>
          <w:sz w:val="24"/>
          <w:szCs w:val="24"/>
        </w:rPr>
        <w:t>n’</w:t>
      </w:r>
      <w:r w:rsidR="004C62D4" w:rsidRPr="002B6F18">
        <w:rPr>
          <w:sz w:val="24"/>
          <w:szCs w:val="24"/>
        </w:rPr>
        <w:t>a concerné</w:t>
      </w:r>
      <w:r w:rsidR="004B7D2D" w:rsidRPr="002B6F18">
        <w:rPr>
          <w:sz w:val="24"/>
          <w:szCs w:val="24"/>
        </w:rPr>
        <w:t xml:space="preserve"> que</w:t>
      </w:r>
      <w:r w:rsidR="004C62D4" w:rsidRPr="002B6F18">
        <w:rPr>
          <w:sz w:val="24"/>
          <w:szCs w:val="24"/>
        </w:rPr>
        <w:t xml:space="preserve"> les biens de consommation (127.884 contre 80.740 T)</w:t>
      </w:r>
      <w:r w:rsidR="004B7D2D" w:rsidRPr="002B6F18">
        <w:rPr>
          <w:sz w:val="24"/>
          <w:szCs w:val="24"/>
        </w:rPr>
        <w:t xml:space="preserve">, les </w:t>
      </w:r>
      <w:r w:rsidR="004C62D4" w:rsidRPr="002B6F18">
        <w:rPr>
          <w:sz w:val="24"/>
          <w:szCs w:val="24"/>
        </w:rPr>
        <w:t xml:space="preserve">biens d’équipement (11.310 contre 11.644 T) et de </w:t>
      </w:r>
      <w:r w:rsidR="008542FA" w:rsidRPr="002B6F18">
        <w:rPr>
          <w:sz w:val="24"/>
          <w:szCs w:val="24"/>
        </w:rPr>
        <w:t>production</w:t>
      </w:r>
      <w:r w:rsidR="004B7D2D" w:rsidRPr="002B6F18">
        <w:rPr>
          <w:sz w:val="24"/>
          <w:szCs w:val="24"/>
        </w:rPr>
        <w:t xml:space="preserve"> (191.554</w:t>
      </w:r>
      <w:r w:rsidR="008542FA" w:rsidRPr="002B6F18">
        <w:rPr>
          <w:sz w:val="24"/>
          <w:szCs w:val="24"/>
        </w:rPr>
        <w:t xml:space="preserve"> contre 206.979 T)</w:t>
      </w:r>
      <w:r w:rsidR="004C62D4" w:rsidRPr="002B6F18">
        <w:rPr>
          <w:sz w:val="24"/>
          <w:szCs w:val="24"/>
        </w:rPr>
        <w:t xml:space="preserve"> ayant diminué</w:t>
      </w:r>
      <w:r w:rsidR="004B7D2D" w:rsidRPr="002B6F18">
        <w:rPr>
          <w:sz w:val="24"/>
          <w:szCs w:val="24"/>
        </w:rPr>
        <w:t>.</w:t>
      </w:r>
      <w:r w:rsidR="008542FA" w:rsidRPr="002B6F18">
        <w:rPr>
          <w:sz w:val="24"/>
          <w:szCs w:val="24"/>
        </w:rPr>
        <w:t xml:space="preserve"> </w:t>
      </w:r>
    </w:p>
    <w:p w:rsidR="00E32C53" w:rsidRPr="002B6F18" w:rsidRDefault="008542FA" w:rsidP="00C6336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</w:t>
      </w:r>
      <w:r w:rsidR="000A24B0" w:rsidRPr="002B6F18">
        <w:rPr>
          <w:sz w:val="24"/>
          <w:szCs w:val="24"/>
        </w:rPr>
        <w:t xml:space="preserve">’accroissement </w:t>
      </w:r>
      <w:r w:rsidR="004B7D2D" w:rsidRPr="002B6F18">
        <w:rPr>
          <w:sz w:val="24"/>
          <w:szCs w:val="24"/>
        </w:rPr>
        <w:t>du volume des biens de consommation est imputable aux biens de consommation durables</w:t>
      </w:r>
      <w:r w:rsidR="00E32C53" w:rsidRPr="002B6F18">
        <w:rPr>
          <w:sz w:val="24"/>
          <w:szCs w:val="24"/>
        </w:rPr>
        <w:t xml:space="preserve"> (114.148 contre 14.272 T) </w:t>
      </w:r>
      <w:r w:rsidR="004B7D2D" w:rsidRPr="002B6F18">
        <w:rPr>
          <w:sz w:val="24"/>
          <w:szCs w:val="24"/>
        </w:rPr>
        <w:t>tandis que</w:t>
      </w:r>
      <w:r w:rsidR="00E32C53" w:rsidRPr="002B6F18">
        <w:rPr>
          <w:sz w:val="24"/>
          <w:szCs w:val="24"/>
        </w:rPr>
        <w:t xml:space="preserve"> le volume d</w:t>
      </w:r>
      <w:r w:rsidR="004B7D2D" w:rsidRPr="002B6F18">
        <w:rPr>
          <w:sz w:val="24"/>
          <w:szCs w:val="24"/>
        </w:rPr>
        <w:t>es biens de consommation</w:t>
      </w:r>
      <w:r w:rsidR="00E32C53" w:rsidRPr="002B6F18">
        <w:rPr>
          <w:sz w:val="24"/>
          <w:szCs w:val="24"/>
        </w:rPr>
        <w:t xml:space="preserve"> </w:t>
      </w:r>
      <w:r w:rsidR="004B7D2D" w:rsidRPr="002B6F18">
        <w:rPr>
          <w:sz w:val="24"/>
          <w:szCs w:val="24"/>
        </w:rPr>
        <w:t>non durable</w:t>
      </w:r>
      <w:r w:rsidR="00E32C53" w:rsidRPr="002B6F18">
        <w:rPr>
          <w:sz w:val="24"/>
          <w:szCs w:val="24"/>
        </w:rPr>
        <w:t>s (13.737 contre 66.468 T) a</w:t>
      </w:r>
      <w:r w:rsidR="004B7D2D" w:rsidRPr="002B6F18">
        <w:rPr>
          <w:sz w:val="24"/>
          <w:szCs w:val="24"/>
        </w:rPr>
        <w:t xml:space="preserve"> </w:t>
      </w:r>
      <w:r w:rsidR="00E32C53" w:rsidRPr="002B6F18">
        <w:rPr>
          <w:sz w:val="24"/>
          <w:szCs w:val="24"/>
        </w:rPr>
        <w:t>baissé.</w:t>
      </w:r>
    </w:p>
    <w:p w:rsidR="002E0927" w:rsidRPr="002B6F18" w:rsidRDefault="00E32C53" w:rsidP="00C6336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L’</w:t>
      </w:r>
      <w:r w:rsidR="00020A05" w:rsidRPr="002B6F18">
        <w:rPr>
          <w:sz w:val="24"/>
          <w:szCs w:val="24"/>
        </w:rPr>
        <w:t>augmentation</w:t>
      </w:r>
      <w:r w:rsidRPr="002B6F18">
        <w:rPr>
          <w:sz w:val="24"/>
          <w:szCs w:val="24"/>
        </w:rPr>
        <w:t xml:space="preserve"> du volume d</w:t>
      </w:r>
      <w:r w:rsidR="000A24B0" w:rsidRPr="002B6F18">
        <w:rPr>
          <w:sz w:val="24"/>
          <w:szCs w:val="24"/>
        </w:rPr>
        <w:t xml:space="preserve">es importations </w:t>
      </w:r>
      <w:r w:rsidR="004B7D2D" w:rsidRPr="002B6F18">
        <w:rPr>
          <w:sz w:val="24"/>
          <w:szCs w:val="24"/>
        </w:rPr>
        <w:t xml:space="preserve">de biens de consommation </w:t>
      </w:r>
      <w:r w:rsidRPr="002B6F18">
        <w:rPr>
          <w:sz w:val="24"/>
          <w:szCs w:val="24"/>
        </w:rPr>
        <w:t>durables a affecté</w:t>
      </w:r>
      <w:r w:rsidR="000A24B0" w:rsidRPr="002B6F18">
        <w:rPr>
          <w:sz w:val="24"/>
          <w:szCs w:val="24"/>
        </w:rPr>
        <w:t xml:space="preserve"> </w:t>
      </w:r>
      <w:r w:rsidRPr="002B6F18">
        <w:rPr>
          <w:sz w:val="24"/>
          <w:szCs w:val="24"/>
        </w:rPr>
        <w:t xml:space="preserve">principalement </w:t>
      </w:r>
      <w:r w:rsidR="000A24B0" w:rsidRPr="002B6F18">
        <w:rPr>
          <w:sz w:val="24"/>
          <w:szCs w:val="24"/>
        </w:rPr>
        <w:t xml:space="preserve">les textiles (73.072 contre 4.695 T), les véhicules (30.662 contre 1.130 T) et </w:t>
      </w:r>
      <w:r w:rsidRPr="002B6F18">
        <w:rPr>
          <w:sz w:val="24"/>
          <w:szCs w:val="24"/>
        </w:rPr>
        <w:t xml:space="preserve">les </w:t>
      </w:r>
      <w:r w:rsidR="000A24B0" w:rsidRPr="002B6F18">
        <w:rPr>
          <w:sz w:val="24"/>
          <w:szCs w:val="24"/>
        </w:rPr>
        <w:t xml:space="preserve">autres biens de consommation durables (10.413 contre 8.447 T). </w:t>
      </w:r>
      <w:r w:rsidRPr="002B6F18">
        <w:rPr>
          <w:sz w:val="24"/>
          <w:szCs w:val="24"/>
        </w:rPr>
        <w:t xml:space="preserve">Pour sa part, la baisse du volume des importations de </w:t>
      </w:r>
      <w:r w:rsidRPr="002B6F18">
        <w:rPr>
          <w:sz w:val="24"/>
          <w:szCs w:val="24"/>
        </w:rPr>
        <w:lastRenderedPageBreak/>
        <w:t xml:space="preserve">biens de </w:t>
      </w:r>
      <w:r w:rsidR="000A24B0" w:rsidRPr="002B6F18">
        <w:rPr>
          <w:sz w:val="24"/>
          <w:szCs w:val="24"/>
        </w:rPr>
        <w:t>consommation non durables a</w:t>
      </w:r>
      <w:r w:rsidRPr="002B6F18">
        <w:rPr>
          <w:sz w:val="24"/>
          <w:szCs w:val="24"/>
        </w:rPr>
        <w:t xml:space="preserve"> porté</w:t>
      </w:r>
      <w:r w:rsidR="001C228F" w:rsidRPr="002B6F18">
        <w:rPr>
          <w:sz w:val="24"/>
          <w:szCs w:val="24"/>
        </w:rPr>
        <w:t xml:space="preserve"> </w:t>
      </w:r>
      <w:r w:rsidR="002E0927" w:rsidRPr="002B6F18">
        <w:rPr>
          <w:sz w:val="24"/>
          <w:szCs w:val="24"/>
        </w:rPr>
        <w:t>essentiellement</w:t>
      </w:r>
      <w:r w:rsidRPr="002B6F18">
        <w:rPr>
          <w:sz w:val="24"/>
          <w:szCs w:val="24"/>
        </w:rPr>
        <w:t xml:space="preserve"> sur l</w:t>
      </w:r>
      <w:r w:rsidR="000A24B0" w:rsidRPr="002B6F18">
        <w:rPr>
          <w:sz w:val="24"/>
          <w:szCs w:val="24"/>
        </w:rPr>
        <w:t>es produits alimentaires (9</w:t>
      </w:r>
      <w:r w:rsidRPr="002B6F18">
        <w:rPr>
          <w:sz w:val="24"/>
          <w:szCs w:val="24"/>
        </w:rPr>
        <w:t>.</w:t>
      </w:r>
      <w:r w:rsidR="000A24B0" w:rsidRPr="002B6F18">
        <w:rPr>
          <w:sz w:val="24"/>
          <w:szCs w:val="24"/>
        </w:rPr>
        <w:t>003 contre 59.233</w:t>
      </w:r>
      <w:r w:rsidR="00DF3479">
        <w:rPr>
          <w:sz w:val="24"/>
          <w:szCs w:val="24"/>
        </w:rPr>
        <w:t xml:space="preserve"> </w:t>
      </w:r>
      <w:r w:rsidR="000A24B0" w:rsidRPr="002B6F18">
        <w:rPr>
          <w:sz w:val="24"/>
          <w:szCs w:val="24"/>
        </w:rPr>
        <w:t>T)</w:t>
      </w:r>
      <w:r w:rsidR="002E0927" w:rsidRPr="002B6F18">
        <w:rPr>
          <w:sz w:val="24"/>
          <w:szCs w:val="24"/>
        </w:rPr>
        <w:t>.</w:t>
      </w:r>
      <w:r w:rsidR="000A24B0" w:rsidRPr="002B6F18">
        <w:rPr>
          <w:sz w:val="24"/>
          <w:szCs w:val="24"/>
        </w:rPr>
        <w:t xml:space="preserve"> </w:t>
      </w:r>
      <w:bookmarkStart w:id="20" w:name="_Toc393361864"/>
    </w:p>
    <w:p w:rsidR="000A24B0" w:rsidRPr="002B6F18" w:rsidRDefault="004329F0" w:rsidP="00C63362">
      <w:pPr>
        <w:spacing w:after="120"/>
        <w:jc w:val="both"/>
        <w:rPr>
          <w:b/>
          <w:color w:val="00B0F0"/>
          <w:sz w:val="24"/>
          <w:szCs w:val="24"/>
        </w:rPr>
      </w:pPr>
      <w:r w:rsidRPr="002B6F18">
        <w:rPr>
          <w:b/>
          <w:color w:val="00B0F0"/>
          <w:sz w:val="24"/>
          <w:szCs w:val="24"/>
        </w:rPr>
        <w:t>VII. TAUX DE CHANGE</w:t>
      </w:r>
      <w:bookmarkEnd w:id="20"/>
    </w:p>
    <w:p w:rsidR="000A24B0" w:rsidRPr="002B6F18" w:rsidRDefault="000A24B0" w:rsidP="000A24B0">
      <w:pPr>
        <w:jc w:val="both"/>
        <w:rPr>
          <w:sz w:val="24"/>
          <w:szCs w:val="24"/>
        </w:rPr>
      </w:pPr>
      <w:r w:rsidRPr="002B6F18">
        <w:rPr>
          <w:sz w:val="24"/>
          <w:szCs w:val="24"/>
        </w:rPr>
        <w:t>Le taux de change moyen</w:t>
      </w:r>
      <w:r w:rsidR="007D5216" w:rsidRPr="002B6F18">
        <w:rPr>
          <w:sz w:val="24"/>
          <w:szCs w:val="24"/>
        </w:rPr>
        <w:t xml:space="preserve"> du BIF</w:t>
      </w:r>
      <w:r w:rsidRPr="002B6F18">
        <w:rPr>
          <w:sz w:val="24"/>
          <w:szCs w:val="24"/>
        </w:rPr>
        <w:t xml:space="preserve"> du mois de mai 2014 s’est </w:t>
      </w:r>
      <w:r w:rsidR="007D5216" w:rsidRPr="002B6F18">
        <w:rPr>
          <w:sz w:val="24"/>
          <w:szCs w:val="24"/>
        </w:rPr>
        <w:t>stabilisé  par rapport à la période correspondante de 2013, se fixant à 1.545,33 contre 1</w:t>
      </w:r>
      <w:r w:rsidR="00A83F02">
        <w:rPr>
          <w:sz w:val="24"/>
          <w:szCs w:val="24"/>
        </w:rPr>
        <w:t>.</w:t>
      </w:r>
      <w:r w:rsidR="007D5216" w:rsidRPr="002B6F18">
        <w:rPr>
          <w:sz w:val="24"/>
          <w:szCs w:val="24"/>
        </w:rPr>
        <w:t>546,81 BIF pour un dollar américain, soit une légère appréciation de 0,09 p.c.</w:t>
      </w:r>
    </w:p>
    <w:p w:rsidR="000A24B0" w:rsidRPr="002B6F18" w:rsidRDefault="007D5216" w:rsidP="00C63362">
      <w:pPr>
        <w:spacing w:after="120"/>
        <w:jc w:val="both"/>
        <w:rPr>
          <w:sz w:val="24"/>
          <w:szCs w:val="24"/>
        </w:rPr>
      </w:pPr>
      <w:r w:rsidRPr="002B6F18">
        <w:rPr>
          <w:sz w:val="24"/>
          <w:szCs w:val="24"/>
        </w:rPr>
        <w:t>Par</w:t>
      </w:r>
      <w:r w:rsidR="000A24B0" w:rsidRPr="002B6F18">
        <w:rPr>
          <w:sz w:val="24"/>
          <w:szCs w:val="24"/>
        </w:rPr>
        <w:t xml:space="preserve"> rapport au mois précédent, le franc Burundi s’est déprécié</w:t>
      </w:r>
      <w:r w:rsidRPr="002B6F18">
        <w:rPr>
          <w:sz w:val="24"/>
          <w:szCs w:val="24"/>
        </w:rPr>
        <w:t xml:space="preserve"> </w:t>
      </w:r>
      <w:r w:rsidR="000A24B0" w:rsidRPr="002B6F18">
        <w:rPr>
          <w:sz w:val="24"/>
          <w:szCs w:val="24"/>
        </w:rPr>
        <w:t>de 0,03 p.c. (1.545</w:t>
      </w:r>
      <w:r w:rsidR="00E6187A" w:rsidRPr="002B6F18">
        <w:rPr>
          <w:sz w:val="24"/>
          <w:szCs w:val="24"/>
        </w:rPr>
        <w:t>,</w:t>
      </w:r>
      <w:r w:rsidR="000A24B0" w:rsidRPr="002B6F18">
        <w:rPr>
          <w:sz w:val="24"/>
          <w:szCs w:val="24"/>
        </w:rPr>
        <w:t>33 contre 1</w:t>
      </w:r>
      <w:r w:rsidR="00A83F02">
        <w:rPr>
          <w:sz w:val="24"/>
          <w:szCs w:val="24"/>
        </w:rPr>
        <w:t>.</w:t>
      </w:r>
      <w:r w:rsidR="000A24B0" w:rsidRPr="002B6F18">
        <w:rPr>
          <w:sz w:val="24"/>
          <w:szCs w:val="24"/>
        </w:rPr>
        <w:t>544</w:t>
      </w:r>
      <w:r w:rsidR="00E6187A" w:rsidRPr="002B6F18">
        <w:rPr>
          <w:sz w:val="24"/>
          <w:szCs w:val="24"/>
        </w:rPr>
        <w:t>,</w:t>
      </w:r>
      <w:r w:rsidR="000A24B0" w:rsidRPr="002B6F18">
        <w:rPr>
          <w:sz w:val="24"/>
          <w:szCs w:val="24"/>
        </w:rPr>
        <w:t>85 BIF pour un dollar américain).</w:t>
      </w:r>
    </w:p>
    <w:p w:rsidR="00A83F02" w:rsidRPr="0024071F" w:rsidRDefault="00A83F02" w:rsidP="00A83F02">
      <w:pPr>
        <w:jc w:val="both"/>
        <w:rPr>
          <w:sz w:val="24"/>
        </w:rPr>
      </w:pPr>
      <w:r w:rsidRPr="0024071F">
        <w:rPr>
          <w:sz w:val="24"/>
        </w:rPr>
        <w:t xml:space="preserve">Comparé à mai 2013, le taux de change effectif nominal du BIF  de mai 2014  s’est </w:t>
      </w:r>
      <w:r w:rsidRPr="0024071F">
        <w:rPr>
          <w:sz w:val="24"/>
        </w:rPr>
        <w:lastRenderedPageBreak/>
        <w:t>établi à 93,9 contre 96,4, soit un</w:t>
      </w:r>
      <w:r>
        <w:rPr>
          <w:sz w:val="24"/>
        </w:rPr>
        <w:t>e baisse</w:t>
      </w:r>
      <w:r w:rsidRPr="0024071F">
        <w:rPr>
          <w:sz w:val="24"/>
        </w:rPr>
        <w:t xml:space="preserve"> de 2,6 p.c. dû à son appréciation vis-à-vis de la quasi-totalité des devises des pays partenaires.</w:t>
      </w:r>
    </w:p>
    <w:p w:rsidR="00A83F02" w:rsidRPr="0024071F" w:rsidRDefault="00A83F02" w:rsidP="00A83F02">
      <w:pPr>
        <w:jc w:val="both"/>
        <w:rPr>
          <w:sz w:val="24"/>
        </w:rPr>
      </w:pPr>
      <w:r w:rsidRPr="0024071F">
        <w:rPr>
          <w:sz w:val="24"/>
        </w:rPr>
        <w:t>De même, le taux de change effectif réel a fléchi</w:t>
      </w:r>
      <w:r w:rsidR="00892199">
        <w:rPr>
          <w:sz w:val="24"/>
        </w:rPr>
        <w:t xml:space="preserve"> de 1,7 p.c.</w:t>
      </w:r>
      <w:r w:rsidRPr="0024071F">
        <w:rPr>
          <w:sz w:val="24"/>
        </w:rPr>
        <w:t>, se fixant à 95,9 contre 97,6</w:t>
      </w:r>
      <w:r w:rsidR="00892199">
        <w:rPr>
          <w:sz w:val="24"/>
        </w:rPr>
        <w:t xml:space="preserve"> </w:t>
      </w:r>
      <w:r w:rsidRPr="0024071F">
        <w:rPr>
          <w:sz w:val="24"/>
        </w:rPr>
        <w:t xml:space="preserve"> en rapport avec  l’appréciation de la monnaie nationale et l’évolution plus rapide des prix extérieurs (+2,5 p.c.) que</w:t>
      </w:r>
      <w:r w:rsidR="00DB5006">
        <w:rPr>
          <w:sz w:val="24"/>
        </w:rPr>
        <w:t xml:space="preserve"> celle d</w:t>
      </w:r>
      <w:r w:rsidRPr="0024071F">
        <w:rPr>
          <w:sz w:val="24"/>
        </w:rPr>
        <w:t xml:space="preserve">es prix domestiques (+1,3 p.c.). </w:t>
      </w:r>
    </w:p>
    <w:p w:rsidR="000A24B0" w:rsidRPr="002B6F18" w:rsidRDefault="000A24B0" w:rsidP="000A24B0">
      <w:pPr>
        <w:jc w:val="both"/>
        <w:rPr>
          <w:sz w:val="24"/>
          <w:szCs w:val="24"/>
        </w:rPr>
      </w:pPr>
    </w:p>
    <w:p w:rsidR="000A24B0" w:rsidRPr="002B6F18" w:rsidRDefault="000A24B0" w:rsidP="000A24B0">
      <w:pPr>
        <w:jc w:val="both"/>
        <w:rPr>
          <w:sz w:val="24"/>
          <w:szCs w:val="24"/>
        </w:rPr>
      </w:pPr>
    </w:p>
    <w:p w:rsidR="000A24B0" w:rsidRPr="002B6F18" w:rsidRDefault="000A24B0" w:rsidP="000A24B0">
      <w:pPr>
        <w:jc w:val="both"/>
        <w:rPr>
          <w:sz w:val="24"/>
          <w:szCs w:val="24"/>
        </w:rPr>
      </w:pPr>
    </w:p>
    <w:p w:rsidR="000A24B0" w:rsidRPr="002B6F18" w:rsidRDefault="000A24B0" w:rsidP="000A24B0">
      <w:pPr>
        <w:jc w:val="both"/>
        <w:rPr>
          <w:b/>
          <w:sz w:val="24"/>
          <w:szCs w:val="24"/>
        </w:rPr>
      </w:pPr>
    </w:p>
    <w:p w:rsidR="000A24B0" w:rsidRPr="002B6F18" w:rsidRDefault="000A24B0" w:rsidP="00864FD2">
      <w:pPr>
        <w:jc w:val="both"/>
        <w:rPr>
          <w:sz w:val="24"/>
          <w:szCs w:val="24"/>
        </w:rPr>
        <w:sectPr w:rsidR="000A24B0" w:rsidRPr="002B6F18" w:rsidSect="00C63362">
          <w:pgSz w:w="11906" w:h="16838"/>
          <w:pgMar w:top="1440" w:right="1440" w:bottom="1440" w:left="1440" w:header="708" w:footer="708" w:gutter="0"/>
          <w:pgNumType w:start="1"/>
          <w:cols w:num="2" w:space="708"/>
          <w:docGrid w:linePitch="360"/>
        </w:sectPr>
      </w:pPr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  <w:bookmarkStart w:id="21" w:name="_Toc391300310"/>
      <w:bookmarkStart w:id="22" w:name="_Toc393361865"/>
      <w:bookmarkStart w:id="23" w:name="_Toc391300311"/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</w:p>
    <w:p w:rsidR="00D85778" w:rsidRPr="002B6F18" w:rsidRDefault="00D85778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</w:p>
    <w:p w:rsidR="00D85778" w:rsidRPr="002B6F18" w:rsidRDefault="00D85778" w:rsidP="00D85778"/>
    <w:p w:rsidR="000867E2" w:rsidRPr="002B6F18" w:rsidRDefault="000867E2" w:rsidP="000867E2">
      <w:pPr>
        <w:pStyle w:val="Titre1"/>
        <w:spacing w:after="240"/>
        <w:rPr>
          <w:rFonts w:ascii="Calibri" w:hAnsi="Calibri"/>
          <w:color w:val="00B0F0"/>
          <w:sz w:val="24"/>
          <w:szCs w:val="24"/>
        </w:rPr>
      </w:pPr>
      <w:r w:rsidRPr="002B6F18">
        <w:rPr>
          <w:rFonts w:ascii="Calibri" w:hAnsi="Calibri"/>
          <w:color w:val="00B0F0"/>
          <w:sz w:val="24"/>
          <w:szCs w:val="24"/>
        </w:rPr>
        <w:lastRenderedPageBreak/>
        <w:t>ANNEXE 1 : PRINCIPAUX INDICATEURS MENSUELS</w:t>
      </w:r>
      <w:bookmarkEnd w:id="21"/>
      <w:bookmarkEnd w:id="22"/>
    </w:p>
    <w:bookmarkStart w:id="24" w:name="_Toc393361866"/>
    <w:bookmarkEnd w:id="24"/>
    <w:p w:rsidR="000867E2" w:rsidRDefault="00C57193" w:rsidP="008847C5">
      <w:pPr>
        <w:pStyle w:val="Titre1"/>
        <w:rPr>
          <w:rFonts w:asciiTheme="minorHAnsi" w:hAnsiTheme="minorHAnsi"/>
          <w:color w:val="00B0F0"/>
          <w:sz w:val="24"/>
          <w:szCs w:val="24"/>
        </w:rPr>
      </w:pPr>
      <w:r w:rsidRPr="00F86622">
        <w:rPr>
          <w:rFonts w:asciiTheme="minorHAnsi" w:hAnsiTheme="minorHAnsi"/>
          <w:color w:val="00B0F0"/>
          <w:sz w:val="24"/>
          <w:szCs w:val="24"/>
        </w:rPr>
        <w:object w:dxaOrig="14850" w:dyaOrig="17400">
          <v:shape id="_x0000_i1027" type="#_x0000_t75" style="width:444.75pt;height:628.5pt" o:ole="">
            <v:imagedata r:id="rId14" o:title=""/>
          </v:shape>
          <o:OLEObject Type="Link" ProgID="Excel.Sheet.8" ShapeID="_x0000_i1027" DrawAspect="Content" r:id="rId15" UpdateMode="Always">
            <o:LinkType>EnhancedMetaFile</o:LinkType>
            <o:LockedField>false</o:LockedField>
          </o:OLEObject>
        </w:object>
      </w:r>
    </w:p>
    <w:p w:rsidR="00C57B02" w:rsidRDefault="00C57B02" w:rsidP="00C57B02"/>
    <w:p w:rsidR="008847C5" w:rsidRDefault="008847C5" w:rsidP="00C07083">
      <w:pPr>
        <w:pStyle w:val="Titre1"/>
        <w:spacing w:after="240"/>
        <w:rPr>
          <w:rFonts w:asciiTheme="minorHAnsi" w:hAnsiTheme="minorHAnsi"/>
          <w:color w:val="00B0F0"/>
          <w:sz w:val="24"/>
          <w:szCs w:val="24"/>
        </w:rPr>
      </w:pPr>
      <w:bookmarkStart w:id="25" w:name="_Toc393361867"/>
      <w:r w:rsidRPr="00A14EA3">
        <w:rPr>
          <w:rFonts w:asciiTheme="minorHAnsi" w:hAnsiTheme="minorHAnsi"/>
          <w:color w:val="00B0F0"/>
          <w:sz w:val="24"/>
          <w:szCs w:val="24"/>
        </w:rPr>
        <w:lastRenderedPageBreak/>
        <w:t>ANNEXE 2 : PRINCIPAUX INDICATEURS ANNUELS</w:t>
      </w:r>
      <w:bookmarkEnd w:id="23"/>
      <w:bookmarkEnd w:id="25"/>
    </w:p>
    <w:p w:rsidR="00A610B9" w:rsidRPr="008B68AD" w:rsidRDefault="00835501" w:rsidP="00864FD2">
      <w:pPr>
        <w:jc w:val="both"/>
        <w:rPr>
          <w:rFonts w:asciiTheme="minorHAnsi" w:hAnsiTheme="minorHAnsi"/>
          <w:sz w:val="24"/>
          <w:szCs w:val="24"/>
        </w:rPr>
      </w:pPr>
      <w:r>
        <w:pict>
          <v:shape id="_x0000_i1028" type="#_x0000_t75" style="width:474pt;height:603.75pt">
            <v:imagedata r:id="rId16" o:title=""/>
          </v:shape>
        </w:pict>
      </w:r>
    </w:p>
    <w:sectPr w:rsidR="00A610B9" w:rsidRPr="008B68AD" w:rsidSect="00C633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EC" w:rsidRDefault="00281BEC" w:rsidP="007342B7">
      <w:pPr>
        <w:spacing w:after="0" w:line="240" w:lineRule="auto"/>
      </w:pPr>
      <w:r>
        <w:separator/>
      </w:r>
    </w:p>
  </w:endnote>
  <w:endnote w:type="continuationSeparator" w:id="0">
    <w:p w:rsidR="00281BEC" w:rsidRDefault="00281BEC" w:rsidP="0073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B2" w:rsidRDefault="00BB41B2">
    <w:pPr>
      <w:rPr>
        <w:rFonts w:ascii="Arial Narrow" w:hAnsi="Arial Narrow" w:cs="Arial Narrow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>B</w:t>
    </w:r>
    <w:r>
      <w:rPr>
        <w:rFonts w:ascii="Arial Narrow" w:hAnsi="Arial Narrow" w:cs="Arial Narrow"/>
        <w:b/>
        <w:bCs/>
        <w:color w:val="000000"/>
      </w:rPr>
      <w:t>.P. 705 BUJUMBURA   Tél: (257) 225142 -Télex : 5071, 5072 - Fax : (257) 223128 - E-mail </w:t>
    </w:r>
    <w:r>
      <w:rPr>
        <w:rFonts w:ascii="Arial Narrow" w:hAnsi="Arial Narrow" w:cs="Arial Narrow"/>
        <w:color w:val="000000"/>
      </w:rPr>
      <w:t xml:space="preserve">: </w:t>
    </w:r>
    <w:r>
      <w:rPr>
        <w:rFonts w:ascii="Arial Narrow" w:hAnsi="Arial Narrow" w:cs="Arial Narrow"/>
        <w:b/>
        <w:bCs/>
        <w:color w:val="000000"/>
      </w:rPr>
      <w:t>brb@brb.bi</w:t>
    </w:r>
  </w:p>
  <w:p w:rsidR="00BB41B2" w:rsidRDefault="00BB41B2">
    <w:pPr>
      <w:rPr>
        <w:rFonts w:ascii="Arial Narrow" w:hAnsi="Arial Narrow" w:cs="Arial Narrow"/>
        <w:b/>
        <w:bCs/>
      </w:rPr>
    </w:pPr>
  </w:p>
  <w:p w:rsidR="00BB41B2" w:rsidRDefault="00BB41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B2" w:rsidRPr="001F0DD7" w:rsidRDefault="00BB41B2" w:rsidP="00D720D0">
    <w:pPr>
      <w:rPr>
        <w:rFonts w:ascii="Arial Narrow" w:hAnsi="Arial Narrow" w:cs="Arial Narrow"/>
        <w:b/>
        <w:bCs/>
        <w:color w:val="000000"/>
        <w:sz w:val="18"/>
        <w:szCs w:val="16"/>
      </w:rPr>
    </w:pPr>
    <w:r w:rsidRPr="001F0DD7">
      <w:rPr>
        <w:rFonts w:ascii="Tahoma" w:hAnsi="Tahoma" w:cs="Tahoma"/>
        <w:b/>
        <w:bCs/>
        <w:color w:val="000000"/>
        <w:sz w:val="18"/>
        <w:szCs w:val="16"/>
      </w:rPr>
      <w:t xml:space="preserve">     B</w:t>
    </w:r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 xml:space="preserve">.P. 705 BUJUMBURA   Tél: (257) 22 20 40 00  Fax : (257) 22 </w:t>
    </w:r>
    <w:proofErr w:type="spellStart"/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>22</w:t>
    </w:r>
    <w:proofErr w:type="spellEnd"/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 xml:space="preserve"> 31 28 - E-mail </w:t>
    </w:r>
    <w:r w:rsidRPr="001F0DD7">
      <w:rPr>
        <w:rFonts w:ascii="Arial Narrow" w:hAnsi="Arial Narrow" w:cs="Arial Narrow"/>
        <w:color w:val="000000"/>
        <w:sz w:val="18"/>
        <w:szCs w:val="16"/>
      </w:rPr>
      <w:t xml:space="preserve">: </w:t>
    </w:r>
    <w:hyperlink r:id="rId1" w:history="1">
      <w:r w:rsidRPr="001F0DD7">
        <w:rPr>
          <w:rStyle w:val="Lienhypertexte"/>
          <w:rFonts w:ascii="Arial Narrow" w:hAnsi="Arial Narrow" w:cs="Arial Narrow"/>
          <w:b/>
          <w:bCs/>
          <w:sz w:val="18"/>
          <w:szCs w:val="16"/>
        </w:rPr>
        <w:t>brb@brb.bi</w:t>
      </w:r>
    </w:hyperlink>
    <w:r w:rsidRPr="001F0DD7">
      <w:rPr>
        <w:rFonts w:ascii="Arial Narrow" w:hAnsi="Arial Narrow" w:cs="Arial Narrow"/>
        <w:b/>
        <w:bCs/>
        <w:color w:val="000000"/>
        <w:sz w:val="18"/>
        <w:szCs w:val="16"/>
      </w:rPr>
      <w:t xml:space="preserve">    - Site Web : </w:t>
    </w:r>
    <w:r w:rsidRPr="001F0DD7">
      <w:rPr>
        <w:rFonts w:ascii="Arial Narrow" w:hAnsi="Arial Narrow" w:cs="Arial Narrow"/>
        <w:b/>
        <w:bCs/>
        <w:color w:val="0000FF"/>
        <w:sz w:val="18"/>
        <w:szCs w:val="16"/>
      </w:rPr>
      <w:t>www.brb.bi</w:t>
    </w:r>
  </w:p>
  <w:p w:rsidR="00BB41B2" w:rsidRPr="001F0DD7" w:rsidRDefault="00BB41B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228"/>
      <w:docPartObj>
        <w:docPartGallery w:val="Page Numbers (Bottom of Page)"/>
        <w:docPartUnique/>
      </w:docPartObj>
    </w:sdtPr>
    <w:sdtContent>
      <w:p w:rsidR="00C91C2A" w:rsidRDefault="00835501">
        <w:pPr>
          <w:pStyle w:val="Pieddepage"/>
          <w:jc w:val="center"/>
        </w:pPr>
        <w:fldSimple w:instr=" PAGE   \* MERGEFORMAT ">
          <w:r w:rsidR="00E84D2B">
            <w:rPr>
              <w:noProof/>
            </w:rPr>
            <w:t>7</w:t>
          </w:r>
        </w:fldSimple>
      </w:p>
    </w:sdtContent>
  </w:sdt>
  <w:p w:rsidR="00C91C2A" w:rsidRDefault="00C91C2A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B2" w:rsidRPr="001F0DD7" w:rsidRDefault="00BB41B2" w:rsidP="00D720D0">
    <w:pPr>
      <w:rPr>
        <w:rFonts w:ascii="Arial Narrow" w:hAnsi="Arial Narrow" w:cs="Arial Narrow"/>
        <w:b/>
        <w:bCs/>
        <w:color w:val="000000"/>
        <w:sz w:val="18"/>
        <w:szCs w:val="16"/>
      </w:rPr>
    </w:pPr>
    <w:r w:rsidRPr="001F0DD7">
      <w:rPr>
        <w:rFonts w:ascii="Tahoma" w:hAnsi="Tahoma" w:cs="Tahoma"/>
        <w:b/>
        <w:bCs/>
        <w:color w:val="000000"/>
        <w:sz w:val="18"/>
        <w:szCs w:val="16"/>
      </w:rPr>
      <w:t xml:space="preserve">     </w:t>
    </w:r>
  </w:p>
  <w:p w:rsidR="00BB41B2" w:rsidRPr="001F0DD7" w:rsidRDefault="00BB41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EC" w:rsidRDefault="00281BEC" w:rsidP="007342B7">
      <w:pPr>
        <w:spacing w:after="0" w:line="240" w:lineRule="auto"/>
      </w:pPr>
      <w:r>
        <w:separator/>
      </w:r>
    </w:p>
  </w:footnote>
  <w:footnote w:type="continuationSeparator" w:id="0">
    <w:p w:rsidR="00281BEC" w:rsidRDefault="00281BEC" w:rsidP="0073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40BA"/>
    <w:multiLevelType w:val="hybridMultilevel"/>
    <w:tmpl w:val="C98A5226"/>
    <w:lvl w:ilvl="0" w:tplc="C6728820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C6"/>
    <w:rsid w:val="000058D6"/>
    <w:rsid w:val="00007A3E"/>
    <w:rsid w:val="00010ABB"/>
    <w:rsid w:val="000114C6"/>
    <w:rsid w:val="00011ED7"/>
    <w:rsid w:val="0001335C"/>
    <w:rsid w:val="00013652"/>
    <w:rsid w:val="000136C9"/>
    <w:rsid w:val="00015788"/>
    <w:rsid w:val="0001727B"/>
    <w:rsid w:val="00017AB0"/>
    <w:rsid w:val="000207DA"/>
    <w:rsid w:val="00020A05"/>
    <w:rsid w:val="0002164B"/>
    <w:rsid w:val="000222BB"/>
    <w:rsid w:val="000238D8"/>
    <w:rsid w:val="00024D90"/>
    <w:rsid w:val="00024FA3"/>
    <w:rsid w:val="00026FD4"/>
    <w:rsid w:val="00027230"/>
    <w:rsid w:val="00033765"/>
    <w:rsid w:val="0003567E"/>
    <w:rsid w:val="00037215"/>
    <w:rsid w:val="0003798D"/>
    <w:rsid w:val="000410BA"/>
    <w:rsid w:val="0004213F"/>
    <w:rsid w:val="00042601"/>
    <w:rsid w:val="00042EC2"/>
    <w:rsid w:val="000438B6"/>
    <w:rsid w:val="00044F4D"/>
    <w:rsid w:val="000458A1"/>
    <w:rsid w:val="00050C1E"/>
    <w:rsid w:val="00052914"/>
    <w:rsid w:val="000535EE"/>
    <w:rsid w:val="000562EF"/>
    <w:rsid w:val="00056694"/>
    <w:rsid w:val="00056D41"/>
    <w:rsid w:val="00057D8D"/>
    <w:rsid w:val="00057EB8"/>
    <w:rsid w:val="00061A00"/>
    <w:rsid w:val="00063C34"/>
    <w:rsid w:val="0006502D"/>
    <w:rsid w:val="00065C60"/>
    <w:rsid w:val="00065EDA"/>
    <w:rsid w:val="00066AAA"/>
    <w:rsid w:val="00067682"/>
    <w:rsid w:val="00071435"/>
    <w:rsid w:val="00073F10"/>
    <w:rsid w:val="000759DC"/>
    <w:rsid w:val="00075AE6"/>
    <w:rsid w:val="00081D4A"/>
    <w:rsid w:val="00085424"/>
    <w:rsid w:val="000867B5"/>
    <w:rsid w:val="000867E2"/>
    <w:rsid w:val="00086AC3"/>
    <w:rsid w:val="000927C3"/>
    <w:rsid w:val="000934F0"/>
    <w:rsid w:val="000935B2"/>
    <w:rsid w:val="000954CB"/>
    <w:rsid w:val="00095E66"/>
    <w:rsid w:val="00096249"/>
    <w:rsid w:val="00096779"/>
    <w:rsid w:val="00097015"/>
    <w:rsid w:val="000A0CFF"/>
    <w:rsid w:val="000A11C9"/>
    <w:rsid w:val="000A1883"/>
    <w:rsid w:val="000A1EFD"/>
    <w:rsid w:val="000A24B0"/>
    <w:rsid w:val="000A4040"/>
    <w:rsid w:val="000A46D3"/>
    <w:rsid w:val="000A4756"/>
    <w:rsid w:val="000A4858"/>
    <w:rsid w:val="000A5B76"/>
    <w:rsid w:val="000B1D5A"/>
    <w:rsid w:val="000B4106"/>
    <w:rsid w:val="000B773B"/>
    <w:rsid w:val="000C44DB"/>
    <w:rsid w:val="000C4FE3"/>
    <w:rsid w:val="000C6650"/>
    <w:rsid w:val="000C78E4"/>
    <w:rsid w:val="000D0B2C"/>
    <w:rsid w:val="000D4EB1"/>
    <w:rsid w:val="000D524D"/>
    <w:rsid w:val="000D53A2"/>
    <w:rsid w:val="000D7745"/>
    <w:rsid w:val="000E0040"/>
    <w:rsid w:val="000E1056"/>
    <w:rsid w:val="000E2AAA"/>
    <w:rsid w:val="000E3E1F"/>
    <w:rsid w:val="000E563A"/>
    <w:rsid w:val="000E58C4"/>
    <w:rsid w:val="000E5A3C"/>
    <w:rsid w:val="000F21F5"/>
    <w:rsid w:val="000F4A3A"/>
    <w:rsid w:val="000F59F8"/>
    <w:rsid w:val="00106824"/>
    <w:rsid w:val="0010684C"/>
    <w:rsid w:val="001140B7"/>
    <w:rsid w:val="00116F46"/>
    <w:rsid w:val="00116F92"/>
    <w:rsid w:val="00125428"/>
    <w:rsid w:val="00126C18"/>
    <w:rsid w:val="0013013C"/>
    <w:rsid w:val="00131A07"/>
    <w:rsid w:val="00132C0D"/>
    <w:rsid w:val="00133192"/>
    <w:rsid w:val="0013392C"/>
    <w:rsid w:val="00136282"/>
    <w:rsid w:val="001365F5"/>
    <w:rsid w:val="0013787E"/>
    <w:rsid w:val="00140500"/>
    <w:rsid w:val="001427B3"/>
    <w:rsid w:val="001441E7"/>
    <w:rsid w:val="00144291"/>
    <w:rsid w:val="00144458"/>
    <w:rsid w:val="00145D1F"/>
    <w:rsid w:val="00147D17"/>
    <w:rsid w:val="00147F21"/>
    <w:rsid w:val="001512DD"/>
    <w:rsid w:val="00151BC4"/>
    <w:rsid w:val="001526B2"/>
    <w:rsid w:val="00160773"/>
    <w:rsid w:val="00162110"/>
    <w:rsid w:val="0016294F"/>
    <w:rsid w:val="00163021"/>
    <w:rsid w:val="00164B78"/>
    <w:rsid w:val="00171285"/>
    <w:rsid w:val="001741B3"/>
    <w:rsid w:val="001747E3"/>
    <w:rsid w:val="0017742C"/>
    <w:rsid w:val="00180572"/>
    <w:rsid w:val="001805F2"/>
    <w:rsid w:val="00182207"/>
    <w:rsid w:val="00182C0E"/>
    <w:rsid w:val="001843CB"/>
    <w:rsid w:val="001857DC"/>
    <w:rsid w:val="00187D22"/>
    <w:rsid w:val="00190EAE"/>
    <w:rsid w:val="00191C4E"/>
    <w:rsid w:val="001941B2"/>
    <w:rsid w:val="00197A85"/>
    <w:rsid w:val="001A21AE"/>
    <w:rsid w:val="001A2300"/>
    <w:rsid w:val="001A41B5"/>
    <w:rsid w:val="001A68DC"/>
    <w:rsid w:val="001B316A"/>
    <w:rsid w:val="001C228F"/>
    <w:rsid w:val="001C2F01"/>
    <w:rsid w:val="001C35AF"/>
    <w:rsid w:val="001C685A"/>
    <w:rsid w:val="001C6C53"/>
    <w:rsid w:val="001C7027"/>
    <w:rsid w:val="001D0CF7"/>
    <w:rsid w:val="001D0E1A"/>
    <w:rsid w:val="001D4B68"/>
    <w:rsid w:val="001D5476"/>
    <w:rsid w:val="001E08AC"/>
    <w:rsid w:val="001E1F23"/>
    <w:rsid w:val="001E48F7"/>
    <w:rsid w:val="001E6C0E"/>
    <w:rsid w:val="001F0704"/>
    <w:rsid w:val="001F0934"/>
    <w:rsid w:val="001F0B2B"/>
    <w:rsid w:val="001F0F53"/>
    <w:rsid w:val="001F6773"/>
    <w:rsid w:val="001F6AB2"/>
    <w:rsid w:val="001F70AC"/>
    <w:rsid w:val="00200210"/>
    <w:rsid w:val="00201C8A"/>
    <w:rsid w:val="00202411"/>
    <w:rsid w:val="00211C58"/>
    <w:rsid w:val="0021288D"/>
    <w:rsid w:val="0021526E"/>
    <w:rsid w:val="00220FF7"/>
    <w:rsid w:val="00222EB6"/>
    <w:rsid w:val="00227608"/>
    <w:rsid w:val="00227FB0"/>
    <w:rsid w:val="0023084C"/>
    <w:rsid w:val="00230B69"/>
    <w:rsid w:val="002404D0"/>
    <w:rsid w:val="002413CA"/>
    <w:rsid w:val="0024370B"/>
    <w:rsid w:val="00243C43"/>
    <w:rsid w:val="00250A87"/>
    <w:rsid w:val="00250DA8"/>
    <w:rsid w:val="0025724A"/>
    <w:rsid w:val="00257CFA"/>
    <w:rsid w:val="00257F80"/>
    <w:rsid w:val="00263530"/>
    <w:rsid w:val="00263D80"/>
    <w:rsid w:val="00265508"/>
    <w:rsid w:val="002659AD"/>
    <w:rsid w:val="00266D8E"/>
    <w:rsid w:val="00275DCD"/>
    <w:rsid w:val="002804A0"/>
    <w:rsid w:val="00281BEC"/>
    <w:rsid w:val="00290300"/>
    <w:rsid w:val="00292C44"/>
    <w:rsid w:val="00293D1E"/>
    <w:rsid w:val="002955FF"/>
    <w:rsid w:val="002A0C3E"/>
    <w:rsid w:val="002A2828"/>
    <w:rsid w:val="002A7378"/>
    <w:rsid w:val="002B5853"/>
    <w:rsid w:val="002B6487"/>
    <w:rsid w:val="002B6F18"/>
    <w:rsid w:val="002B781B"/>
    <w:rsid w:val="002C0609"/>
    <w:rsid w:val="002C2185"/>
    <w:rsid w:val="002C2F2E"/>
    <w:rsid w:val="002C3C9A"/>
    <w:rsid w:val="002C5C8E"/>
    <w:rsid w:val="002C65B5"/>
    <w:rsid w:val="002C744C"/>
    <w:rsid w:val="002D0055"/>
    <w:rsid w:val="002D0072"/>
    <w:rsid w:val="002D1686"/>
    <w:rsid w:val="002D2E0E"/>
    <w:rsid w:val="002D36F1"/>
    <w:rsid w:val="002D5A21"/>
    <w:rsid w:val="002D718F"/>
    <w:rsid w:val="002D77AC"/>
    <w:rsid w:val="002D7CB0"/>
    <w:rsid w:val="002E06A1"/>
    <w:rsid w:val="002E0927"/>
    <w:rsid w:val="002E36A3"/>
    <w:rsid w:val="002E407A"/>
    <w:rsid w:val="002E547D"/>
    <w:rsid w:val="002E56A8"/>
    <w:rsid w:val="002E6809"/>
    <w:rsid w:val="002F0599"/>
    <w:rsid w:val="002F3C29"/>
    <w:rsid w:val="002F4CDF"/>
    <w:rsid w:val="00300439"/>
    <w:rsid w:val="00301A60"/>
    <w:rsid w:val="0030520B"/>
    <w:rsid w:val="00306EBA"/>
    <w:rsid w:val="003104CE"/>
    <w:rsid w:val="00311013"/>
    <w:rsid w:val="00311455"/>
    <w:rsid w:val="00311585"/>
    <w:rsid w:val="003144F5"/>
    <w:rsid w:val="003166CB"/>
    <w:rsid w:val="00316CAF"/>
    <w:rsid w:val="003228E5"/>
    <w:rsid w:val="003247FB"/>
    <w:rsid w:val="00324B10"/>
    <w:rsid w:val="0032741E"/>
    <w:rsid w:val="0033139D"/>
    <w:rsid w:val="003346C6"/>
    <w:rsid w:val="00334E9C"/>
    <w:rsid w:val="00340D7C"/>
    <w:rsid w:val="003436FB"/>
    <w:rsid w:val="0034463E"/>
    <w:rsid w:val="00344F0F"/>
    <w:rsid w:val="00346F06"/>
    <w:rsid w:val="00350D77"/>
    <w:rsid w:val="00352C83"/>
    <w:rsid w:val="003535EB"/>
    <w:rsid w:val="00354F69"/>
    <w:rsid w:val="00355AF0"/>
    <w:rsid w:val="00355B6F"/>
    <w:rsid w:val="00355B75"/>
    <w:rsid w:val="00356318"/>
    <w:rsid w:val="00356464"/>
    <w:rsid w:val="00356DD4"/>
    <w:rsid w:val="00357E8D"/>
    <w:rsid w:val="003615FA"/>
    <w:rsid w:val="00367749"/>
    <w:rsid w:val="00371755"/>
    <w:rsid w:val="00371CBE"/>
    <w:rsid w:val="00373E46"/>
    <w:rsid w:val="00374A90"/>
    <w:rsid w:val="00376723"/>
    <w:rsid w:val="00376805"/>
    <w:rsid w:val="0038170B"/>
    <w:rsid w:val="003822B2"/>
    <w:rsid w:val="00382BDC"/>
    <w:rsid w:val="003832F4"/>
    <w:rsid w:val="00383AF9"/>
    <w:rsid w:val="0038466C"/>
    <w:rsid w:val="00385131"/>
    <w:rsid w:val="003900D0"/>
    <w:rsid w:val="003917C4"/>
    <w:rsid w:val="00393C1C"/>
    <w:rsid w:val="003942CF"/>
    <w:rsid w:val="00397150"/>
    <w:rsid w:val="003A0DF8"/>
    <w:rsid w:val="003A1820"/>
    <w:rsid w:val="003A4A45"/>
    <w:rsid w:val="003A4C55"/>
    <w:rsid w:val="003B23ED"/>
    <w:rsid w:val="003B5AC0"/>
    <w:rsid w:val="003B5FE9"/>
    <w:rsid w:val="003B7CA1"/>
    <w:rsid w:val="003C1171"/>
    <w:rsid w:val="003C4446"/>
    <w:rsid w:val="003D39E8"/>
    <w:rsid w:val="003D6E70"/>
    <w:rsid w:val="003D7FD2"/>
    <w:rsid w:val="003E08D0"/>
    <w:rsid w:val="003E1214"/>
    <w:rsid w:val="003E2120"/>
    <w:rsid w:val="003E7EED"/>
    <w:rsid w:val="003F11F7"/>
    <w:rsid w:val="003F28B5"/>
    <w:rsid w:val="003F3904"/>
    <w:rsid w:val="003F5B38"/>
    <w:rsid w:val="003F64E2"/>
    <w:rsid w:val="00400C5A"/>
    <w:rsid w:val="00402FAA"/>
    <w:rsid w:val="00403883"/>
    <w:rsid w:val="00404079"/>
    <w:rsid w:val="00405CE8"/>
    <w:rsid w:val="004103D0"/>
    <w:rsid w:val="00413D85"/>
    <w:rsid w:val="00414190"/>
    <w:rsid w:val="00421765"/>
    <w:rsid w:val="00421C46"/>
    <w:rsid w:val="00422C7F"/>
    <w:rsid w:val="00422FDD"/>
    <w:rsid w:val="00426EFA"/>
    <w:rsid w:val="004323B3"/>
    <w:rsid w:val="00432855"/>
    <w:rsid w:val="004329F0"/>
    <w:rsid w:val="00433A29"/>
    <w:rsid w:val="004448EE"/>
    <w:rsid w:val="00447272"/>
    <w:rsid w:val="0045254C"/>
    <w:rsid w:val="0045278D"/>
    <w:rsid w:val="00455802"/>
    <w:rsid w:val="00457241"/>
    <w:rsid w:val="00457348"/>
    <w:rsid w:val="004605E2"/>
    <w:rsid w:val="00465D97"/>
    <w:rsid w:val="00466746"/>
    <w:rsid w:val="004671FD"/>
    <w:rsid w:val="004674A5"/>
    <w:rsid w:val="00467D04"/>
    <w:rsid w:val="00473A9F"/>
    <w:rsid w:val="0047481F"/>
    <w:rsid w:val="00480AED"/>
    <w:rsid w:val="00481612"/>
    <w:rsid w:val="00482C72"/>
    <w:rsid w:val="00485DDB"/>
    <w:rsid w:val="004901E3"/>
    <w:rsid w:val="00493818"/>
    <w:rsid w:val="004960F1"/>
    <w:rsid w:val="00496502"/>
    <w:rsid w:val="004A225C"/>
    <w:rsid w:val="004A7982"/>
    <w:rsid w:val="004A7E20"/>
    <w:rsid w:val="004B3B77"/>
    <w:rsid w:val="004B6CAB"/>
    <w:rsid w:val="004B7D2D"/>
    <w:rsid w:val="004C54FE"/>
    <w:rsid w:val="004C62D4"/>
    <w:rsid w:val="004C632F"/>
    <w:rsid w:val="004D1B7A"/>
    <w:rsid w:val="004E0FEA"/>
    <w:rsid w:val="004E1AEA"/>
    <w:rsid w:val="004E2269"/>
    <w:rsid w:val="004E2376"/>
    <w:rsid w:val="004F0280"/>
    <w:rsid w:val="004F1F01"/>
    <w:rsid w:val="004F6B9F"/>
    <w:rsid w:val="004F7742"/>
    <w:rsid w:val="00500DA9"/>
    <w:rsid w:val="00502822"/>
    <w:rsid w:val="00502954"/>
    <w:rsid w:val="00503D4C"/>
    <w:rsid w:val="005069E8"/>
    <w:rsid w:val="005078F2"/>
    <w:rsid w:val="00510443"/>
    <w:rsid w:val="00514C87"/>
    <w:rsid w:val="00515D33"/>
    <w:rsid w:val="0051751D"/>
    <w:rsid w:val="005205A1"/>
    <w:rsid w:val="0052102A"/>
    <w:rsid w:val="005221AD"/>
    <w:rsid w:val="00522E8D"/>
    <w:rsid w:val="0052642E"/>
    <w:rsid w:val="005273A2"/>
    <w:rsid w:val="005278EA"/>
    <w:rsid w:val="005279F2"/>
    <w:rsid w:val="0053185A"/>
    <w:rsid w:val="0053673D"/>
    <w:rsid w:val="00536F90"/>
    <w:rsid w:val="00545375"/>
    <w:rsid w:val="005462EF"/>
    <w:rsid w:val="0054661F"/>
    <w:rsid w:val="00547316"/>
    <w:rsid w:val="00547F1F"/>
    <w:rsid w:val="005501DE"/>
    <w:rsid w:val="00551DC3"/>
    <w:rsid w:val="00552A3A"/>
    <w:rsid w:val="00552BDA"/>
    <w:rsid w:val="0055339A"/>
    <w:rsid w:val="0055408E"/>
    <w:rsid w:val="00555858"/>
    <w:rsid w:val="005560ED"/>
    <w:rsid w:val="00563D29"/>
    <w:rsid w:val="005657C7"/>
    <w:rsid w:val="0057007C"/>
    <w:rsid w:val="0057090C"/>
    <w:rsid w:val="0057222A"/>
    <w:rsid w:val="0057484D"/>
    <w:rsid w:val="005838E1"/>
    <w:rsid w:val="00584A9C"/>
    <w:rsid w:val="00586C6E"/>
    <w:rsid w:val="00587C55"/>
    <w:rsid w:val="0059298F"/>
    <w:rsid w:val="00597178"/>
    <w:rsid w:val="005A0A04"/>
    <w:rsid w:val="005A10B1"/>
    <w:rsid w:val="005A1E95"/>
    <w:rsid w:val="005A38BC"/>
    <w:rsid w:val="005A4A1C"/>
    <w:rsid w:val="005A5481"/>
    <w:rsid w:val="005B00E7"/>
    <w:rsid w:val="005B0B0C"/>
    <w:rsid w:val="005B2679"/>
    <w:rsid w:val="005B501F"/>
    <w:rsid w:val="005B5FC6"/>
    <w:rsid w:val="005B7F58"/>
    <w:rsid w:val="005C0197"/>
    <w:rsid w:val="005C11B6"/>
    <w:rsid w:val="005C2933"/>
    <w:rsid w:val="005C2CE7"/>
    <w:rsid w:val="005C323A"/>
    <w:rsid w:val="005C6C89"/>
    <w:rsid w:val="005C6CE4"/>
    <w:rsid w:val="005C6DA5"/>
    <w:rsid w:val="005C730C"/>
    <w:rsid w:val="005D019D"/>
    <w:rsid w:val="005D111E"/>
    <w:rsid w:val="005D3DF3"/>
    <w:rsid w:val="005D48C2"/>
    <w:rsid w:val="005D6375"/>
    <w:rsid w:val="005E19F4"/>
    <w:rsid w:val="005E1F9A"/>
    <w:rsid w:val="005E2A9D"/>
    <w:rsid w:val="005E4DE0"/>
    <w:rsid w:val="005E51C4"/>
    <w:rsid w:val="005E6482"/>
    <w:rsid w:val="005E7E48"/>
    <w:rsid w:val="005F59E7"/>
    <w:rsid w:val="005F5EC1"/>
    <w:rsid w:val="005F67EA"/>
    <w:rsid w:val="00600B51"/>
    <w:rsid w:val="006017B9"/>
    <w:rsid w:val="00605B41"/>
    <w:rsid w:val="0060627B"/>
    <w:rsid w:val="006063D9"/>
    <w:rsid w:val="00616111"/>
    <w:rsid w:val="00617753"/>
    <w:rsid w:val="00620A06"/>
    <w:rsid w:val="00626619"/>
    <w:rsid w:val="0063224F"/>
    <w:rsid w:val="00634C69"/>
    <w:rsid w:val="00634F11"/>
    <w:rsid w:val="00636BB6"/>
    <w:rsid w:val="00636F08"/>
    <w:rsid w:val="006427AE"/>
    <w:rsid w:val="006539B4"/>
    <w:rsid w:val="00653D9C"/>
    <w:rsid w:val="00653DAD"/>
    <w:rsid w:val="00653F65"/>
    <w:rsid w:val="0065755F"/>
    <w:rsid w:val="00657D18"/>
    <w:rsid w:val="0066275F"/>
    <w:rsid w:val="0066313A"/>
    <w:rsid w:val="00663E27"/>
    <w:rsid w:val="00664208"/>
    <w:rsid w:val="00664348"/>
    <w:rsid w:val="00664A81"/>
    <w:rsid w:val="006651F0"/>
    <w:rsid w:val="0066587E"/>
    <w:rsid w:val="00667148"/>
    <w:rsid w:val="00673FA4"/>
    <w:rsid w:val="00675442"/>
    <w:rsid w:val="00675F4F"/>
    <w:rsid w:val="00677D22"/>
    <w:rsid w:val="00680CED"/>
    <w:rsid w:val="0068262D"/>
    <w:rsid w:val="00691085"/>
    <w:rsid w:val="00691819"/>
    <w:rsid w:val="00692789"/>
    <w:rsid w:val="0069652A"/>
    <w:rsid w:val="00696EE0"/>
    <w:rsid w:val="006A0350"/>
    <w:rsid w:val="006A03CF"/>
    <w:rsid w:val="006A272F"/>
    <w:rsid w:val="006A7E69"/>
    <w:rsid w:val="006B2E39"/>
    <w:rsid w:val="006B569A"/>
    <w:rsid w:val="006B5B58"/>
    <w:rsid w:val="006B6215"/>
    <w:rsid w:val="006C058F"/>
    <w:rsid w:val="006C1FE4"/>
    <w:rsid w:val="006D02D1"/>
    <w:rsid w:val="006D0AE8"/>
    <w:rsid w:val="006D0E57"/>
    <w:rsid w:val="006D16C9"/>
    <w:rsid w:val="006D6220"/>
    <w:rsid w:val="006D6C43"/>
    <w:rsid w:val="006E0298"/>
    <w:rsid w:val="006E1E10"/>
    <w:rsid w:val="006E213E"/>
    <w:rsid w:val="006E2FE7"/>
    <w:rsid w:val="006E3467"/>
    <w:rsid w:val="006E4AA0"/>
    <w:rsid w:val="006E61FA"/>
    <w:rsid w:val="006E72B2"/>
    <w:rsid w:val="006E73F0"/>
    <w:rsid w:val="006F0AAB"/>
    <w:rsid w:val="006F13A8"/>
    <w:rsid w:val="006F13D4"/>
    <w:rsid w:val="006F5ADA"/>
    <w:rsid w:val="007023F0"/>
    <w:rsid w:val="007036B3"/>
    <w:rsid w:val="00704A86"/>
    <w:rsid w:val="00705162"/>
    <w:rsid w:val="00707367"/>
    <w:rsid w:val="00707749"/>
    <w:rsid w:val="00711796"/>
    <w:rsid w:val="00712C35"/>
    <w:rsid w:val="007131E5"/>
    <w:rsid w:val="00713A00"/>
    <w:rsid w:val="00727881"/>
    <w:rsid w:val="00727C0A"/>
    <w:rsid w:val="00727C74"/>
    <w:rsid w:val="007303AC"/>
    <w:rsid w:val="00730416"/>
    <w:rsid w:val="007342B7"/>
    <w:rsid w:val="00734FEB"/>
    <w:rsid w:val="00736146"/>
    <w:rsid w:val="00736C90"/>
    <w:rsid w:val="00737AB6"/>
    <w:rsid w:val="00741BD0"/>
    <w:rsid w:val="0074223C"/>
    <w:rsid w:val="00745376"/>
    <w:rsid w:val="00745B86"/>
    <w:rsid w:val="00746B38"/>
    <w:rsid w:val="007471C9"/>
    <w:rsid w:val="00751DA9"/>
    <w:rsid w:val="007520ED"/>
    <w:rsid w:val="0075436B"/>
    <w:rsid w:val="00756397"/>
    <w:rsid w:val="00760E28"/>
    <w:rsid w:val="0076417D"/>
    <w:rsid w:val="00764415"/>
    <w:rsid w:val="007646FE"/>
    <w:rsid w:val="007654BA"/>
    <w:rsid w:val="0076709B"/>
    <w:rsid w:val="00771034"/>
    <w:rsid w:val="00772449"/>
    <w:rsid w:val="00772BD3"/>
    <w:rsid w:val="00773D1E"/>
    <w:rsid w:val="00774DC2"/>
    <w:rsid w:val="007841E6"/>
    <w:rsid w:val="00785856"/>
    <w:rsid w:val="0078591A"/>
    <w:rsid w:val="00786F78"/>
    <w:rsid w:val="00792F7F"/>
    <w:rsid w:val="00796232"/>
    <w:rsid w:val="007965DE"/>
    <w:rsid w:val="007A31EC"/>
    <w:rsid w:val="007A50DA"/>
    <w:rsid w:val="007B02EE"/>
    <w:rsid w:val="007B2B8A"/>
    <w:rsid w:val="007B3F16"/>
    <w:rsid w:val="007C013A"/>
    <w:rsid w:val="007C1436"/>
    <w:rsid w:val="007C186C"/>
    <w:rsid w:val="007C553A"/>
    <w:rsid w:val="007D07EC"/>
    <w:rsid w:val="007D1B25"/>
    <w:rsid w:val="007D409C"/>
    <w:rsid w:val="007D41ED"/>
    <w:rsid w:val="007D5216"/>
    <w:rsid w:val="007D6AC2"/>
    <w:rsid w:val="007D7ACC"/>
    <w:rsid w:val="007E07A4"/>
    <w:rsid w:val="007E0FD5"/>
    <w:rsid w:val="007E3860"/>
    <w:rsid w:val="007E59A0"/>
    <w:rsid w:val="007E61E4"/>
    <w:rsid w:val="007F0081"/>
    <w:rsid w:val="007F378F"/>
    <w:rsid w:val="007F4DFE"/>
    <w:rsid w:val="007F5CE3"/>
    <w:rsid w:val="007F66F8"/>
    <w:rsid w:val="00800FC3"/>
    <w:rsid w:val="008050F7"/>
    <w:rsid w:val="00811A23"/>
    <w:rsid w:val="00812EB2"/>
    <w:rsid w:val="0081305F"/>
    <w:rsid w:val="00813A7E"/>
    <w:rsid w:val="008147C3"/>
    <w:rsid w:val="00814AC2"/>
    <w:rsid w:val="0082009C"/>
    <w:rsid w:val="0082182C"/>
    <w:rsid w:val="00821C1C"/>
    <w:rsid w:val="00822E11"/>
    <w:rsid w:val="00823C63"/>
    <w:rsid w:val="00830223"/>
    <w:rsid w:val="00832021"/>
    <w:rsid w:val="00833900"/>
    <w:rsid w:val="00833C2B"/>
    <w:rsid w:val="00834E10"/>
    <w:rsid w:val="00835200"/>
    <w:rsid w:val="00835501"/>
    <w:rsid w:val="008404E3"/>
    <w:rsid w:val="008421B1"/>
    <w:rsid w:val="00845F12"/>
    <w:rsid w:val="008542FA"/>
    <w:rsid w:val="0086164E"/>
    <w:rsid w:val="00861697"/>
    <w:rsid w:val="008630FB"/>
    <w:rsid w:val="0086356A"/>
    <w:rsid w:val="00864FD2"/>
    <w:rsid w:val="00865460"/>
    <w:rsid w:val="00872402"/>
    <w:rsid w:val="00873711"/>
    <w:rsid w:val="0087378C"/>
    <w:rsid w:val="00876989"/>
    <w:rsid w:val="00876FA7"/>
    <w:rsid w:val="0087749A"/>
    <w:rsid w:val="0088161E"/>
    <w:rsid w:val="008847C5"/>
    <w:rsid w:val="008848CD"/>
    <w:rsid w:val="0088493D"/>
    <w:rsid w:val="00884FE9"/>
    <w:rsid w:val="008854E7"/>
    <w:rsid w:val="0088765A"/>
    <w:rsid w:val="00890405"/>
    <w:rsid w:val="008904C1"/>
    <w:rsid w:val="00892199"/>
    <w:rsid w:val="00892717"/>
    <w:rsid w:val="00893AE5"/>
    <w:rsid w:val="00894D66"/>
    <w:rsid w:val="0089694B"/>
    <w:rsid w:val="00896EAA"/>
    <w:rsid w:val="008A0F0C"/>
    <w:rsid w:val="008A240B"/>
    <w:rsid w:val="008A2B32"/>
    <w:rsid w:val="008A3022"/>
    <w:rsid w:val="008A60FD"/>
    <w:rsid w:val="008A64D9"/>
    <w:rsid w:val="008A73F7"/>
    <w:rsid w:val="008B0A65"/>
    <w:rsid w:val="008B20BE"/>
    <w:rsid w:val="008B2A4E"/>
    <w:rsid w:val="008B4BD3"/>
    <w:rsid w:val="008B6270"/>
    <w:rsid w:val="008B6342"/>
    <w:rsid w:val="008B68AD"/>
    <w:rsid w:val="008B79CC"/>
    <w:rsid w:val="008C1EB4"/>
    <w:rsid w:val="008C34AF"/>
    <w:rsid w:val="008C3DED"/>
    <w:rsid w:val="008C4AD0"/>
    <w:rsid w:val="008C5443"/>
    <w:rsid w:val="008C6B62"/>
    <w:rsid w:val="008C7159"/>
    <w:rsid w:val="008C7D32"/>
    <w:rsid w:val="008D04D0"/>
    <w:rsid w:val="008D3F00"/>
    <w:rsid w:val="008D5E78"/>
    <w:rsid w:val="008E1E00"/>
    <w:rsid w:val="008E283E"/>
    <w:rsid w:val="008E4FE9"/>
    <w:rsid w:val="008E51B4"/>
    <w:rsid w:val="008E62BF"/>
    <w:rsid w:val="008E64BB"/>
    <w:rsid w:val="008E7A7E"/>
    <w:rsid w:val="008F080D"/>
    <w:rsid w:val="008F2B4D"/>
    <w:rsid w:val="008F3FAD"/>
    <w:rsid w:val="008F7B91"/>
    <w:rsid w:val="00900DB2"/>
    <w:rsid w:val="00901637"/>
    <w:rsid w:val="00901C9C"/>
    <w:rsid w:val="0090450B"/>
    <w:rsid w:val="009048A7"/>
    <w:rsid w:val="009065D2"/>
    <w:rsid w:val="009162FA"/>
    <w:rsid w:val="00923563"/>
    <w:rsid w:val="00923A6D"/>
    <w:rsid w:val="009246BF"/>
    <w:rsid w:val="00924CDA"/>
    <w:rsid w:val="00926956"/>
    <w:rsid w:val="0093254D"/>
    <w:rsid w:val="00932905"/>
    <w:rsid w:val="00933FB5"/>
    <w:rsid w:val="00935A1D"/>
    <w:rsid w:val="00937358"/>
    <w:rsid w:val="00940736"/>
    <w:rsid w:val="00950300"/>
    <w:rsid w:val="00950755"/>
    <w:rsid w:val="00950F01"/>
    <w:rsid w:val="00957E00"/>
    <w:rsid w:val="00957F96"/>
    <w:rsid w:val="009631F5"/>
    <w:rsid w:val="00963ABD"/>
    <w:rsid w:val="0097352C"/>
    <w:rsid w:val="009747D7"/>
    <w:rsid w:val="00974C02"/>
    <w:rsid w:val="00975523"/>
    <w:rsid w:val="00975BEA"/>
    <w:rsid w:val="00982814"/>
    <w:rsid w:val="009850D2"/>
    <w:rsid w:val="0098582A"/>
    <w:rsid w:val="009900D6"/>
    <w:rsid w:val="009931BD"/>
    <w:rsid w:val="00994B8C"/>
    <w:rsid w:val="009A1302"/>
    <w:rsid w:val="009A22B9"/>
    <w:rsid w:val="009A3D29"/>
    <w:rsid w:val="009A4EA9"/>
    <w:rsid w:val="009B0114"/>
    <w:rsid w:val="009B0181"/>
    <w:rsid w:val="009B15BF"/>
    <w:rsid w:val="009B4B9A"/>
    <w:rsid w:val="009B6A05"/>
    <w:rsid w:val="009B6A40"/>
    <w:rsid w:val="009B6DE6"/>
    <w:rsid w:val="009C01FB"/>
    <w:rsid w:val="009C1304"/>
    <w:rsid w:val="009C186A"/>
    <w:rsid w:val="009C1897"/>
    <w:rsid w:val="009C23DB"/>
    <w:rsid w:val="009C2C8D"/>
    <w:rsid w:val="009C3D10"/>
    <w:rsid w:val="009C4148"/>
    <w:rsid w:val="009C5A78"/>
    <w:rsid w:val="009C7C6E"/>
    <w:rsid w:val="009D43B0"/>
    <w:rsid w:val="009D5317"/>
    <w:rsid w:val="009D5693"/>
    <w:rsid w:val="009E0A50"/>
    <w:rsid w:val="009E0B18"/>
    <w:rsid w:val="009E27DF"/>
    <w:rsid w:val="009E4D43"/>
    <w:rsid w:val="009E7A4B"/>
    <w:rsid w:val="009F2355"/>
    <w:rsid w:val="009F601D"/>
    <w:rsid w:val="00A05308"/>
    <w:rsid w:val="00A0719D"/>
    <w:rsid w:val="00A072CE"/>
    <w:rsid w:val="00A10079"/>
    <w:rsid w:val="00A126D0"/>
    <w:rsid w:val="00A14E0F"/>
    <w:rsid w:val="00A15508"/>
    <w:rsid w:val="00A16DBA"/>
    <w:rsid w:val="00A17161"/>
    <w:rsid w:val="00A20D54"/>
    <w:rsid w:val="00A235CB"/>
    <w:rsid w:val="00A23A10"/>
    <w:rsid w:val="00A26FA4"/>
    <w:rsid w:val="00A27CD4"/>
    <w:rsid w:val="00A30A7F"/>
    <w:rsid w:val="00A33278"/>
    <w:rsid w:val="00A3561E"/>
    <w:rsid w:val="00A408E1"/>
    <w:rsid w:val="00A43CB9"/>
    <w:rsid w:val="00A4473F"/>
    <w:rsid w:val="00A44CB6"/>
    <w:rsid w:val="00A44D8E"/>
    <w:rsid w:val="00A507B9"/>
    <w:rsid w:val="00A50DCE"/>
    <w:rsid w:val="00A51949"/>
    <w:rsid w:val="00A5276E"/>
    <w:rsid w:val="00A543F6"/>
    <w:rsid w:val="00A54EE5"/>
    <w:rsid w:val="00A555A9"/>
    <w:rsid w:val="00A561DE"/>
    <w:rsid w:val="00A56634"/>
    <w:rsid w:val="00A60333"/>
    <w:rsid w:val="00A604C9"/>
    <w:rsid w:val="00A610B9"/>
    <w:rsid w:val="00A62E22"/>
    <w:rsid w:val="00A63FEB"/>
    <w:rsid w:val="00A73681"/>
    <w:rsid w:val="00A76074"/>
    <w:rsid w:val="00A763E7"/>
    <w:rsid w:val="00A77A39"/>
    <w:rsid w:val="00A806C4"/>
    <w:rsid w:val="00A80AC7"/>
    <w:rsid w:val="00A80BB5"/>
    <w:rsid w:val="00A81449"/>
    <w:rsid w:val="00A8144D"/>
    <w:rsid w:val="00A82580"/>
    <w:rsid w:val="00A8283B"/>
    <w:rsid w:val="00A83C1B"/>
    <w:rsid w:val="00A83E99"/>
    <w:rsid w:val="00A83EDA"/>
    <w:rsid w:val="00A83F02"/>
    <w:rsid w:val="00A8660C"/>
    <w:rsid w:val="00A905EB"/>
    <w:rsid w:val="00A93949"/>
    <w:rsid w:val="00A94C3A"/>
    <w:rsid w:val="00A97A18"/>
    <w:rsid w:val="00AA1DB5"/>
    <w:rsid w:val="00AA4AF5"/>
    <w:rsid w:val="00AB0739"/>
    <w:rsid w:val="00AB12A2"/>
    <w:rsid w:val="00AB21CF"/>
    <w:rsid w:val="00AB2712"/>
    <w:rsid w:val="00AB4953"/>
    <w:rsid w:val="00AC1286"/>
    <w:rsid w:val="00AC46CB"/>
    <w:rsid w:val="00AC57B6"/>
    <w:rsid w:val="00AC6BBB"/>
    <w:rsid w:val="00AD24DE"/>
    <w:rsid w:val="00AD2C0C"/>
    <w:rsid w:val="00AD40DF"/>
    <w:rsid w:val="00AD7347"/>
    <w:rsid w:val="00AD76AA"/>
    <w:rsid w:val="00AD7B38"/>
    <w:rsid w:val="00AE0111"/>
    <w:rsid w:val="00AE2352"/>
    <w:rsid w:val="00AE2E80"/>
    <w:rsid w:val="00AE5E86"/>
    <w:rsid w:val="00AF0360"/>
    <w:rsid w:val="00AF334B"/>
    <w:rsid w:val="00AF369A"/>
    <w:rsid w:val="00AF52EF"/>
    <w:rsid w:val="00AF609F"/>
    <w:rsid w:val="00B037D9"/>
    <w:rsid w:val="00B04EFA"/>
    <w:rsid w:val="00B0560F"/>
    <w:rsid w:val="00B05B4E"/>
    <w:rsid w:val="00B11B03"/>
    <w:rsid w:val="00B15284"/>
    <w:rsid w:val="00B15A43"/>
    <w:rsid w:val="00B229C5"/>
    <w:rsid w:val="00B27668"/>
    <w:rsid w:val="00B316E9"/>
    <w:rsid w:val="00B31913"/>
    <w:rsid w:val="00B31C94"/>
    <w:rsid w:val="00B35029"/>
    <w:rsid w:val="00B35C53"/>
    <w:rsid w:val="00B41D1C"/>
    <w:rsid w:val="00B4396E"/>
    <w:rsid w:val="00B44DAC"/>
    <w:rsid w:val="00B458E4"/>
    <w:rsid w:val="00B47565"/>
    <w:rsid w:val="00B50EC5"/>
    <w:rsid w:val="00B52B71"/>
    <w:rsid w:val="00B5629B"/>
    <w:rsid w:val="00B565DD"/>
    <w:rsid w:val="00B60E20"/>
    <w:rsid w:val="00B63110"/>
    <w:rsid w:val="00B63153"/>
    <w:rsid w:val="00B717EA"/>
    <w:rsid w:val="00B76C64"/>
    <w:rsid w:val="00B77042"/>
    <w:rsid w:val="00B77294"/>
    <w:rsid w:val="00B77500"/>
    <w:rsid w:val="00B77F6B"/>
    <w:rsid w:val="00B80D64"/>
    <w:rsid w:val="00B82EF7"/>
    <w:rsid w:val="00B847E0"/>
    <w:rsid w:val="00B85670"/>
    <w:rsid w:val="00B86512"/>
    <w:rsid w:val="00B87525"/>
    <w:rsid w:val="00B923F8"/>
    <w:rsid w:val="00B9687E"/>
    <w:rsid w:val="00B96D7D"/>
    <w:rsid w:val="00BA03C8"/>
    <w:rsid w:val="00BA1A2C"/>
    <w:rsid w:val="00BA29D7"/>
    <w:rsid w:val="00BA30CB"/>
    <w:rsid w:val="00BA5FC1"/>
    <w:rsid w:val="00BA65AE"/>
    <w:rsid w:val="00BB1091"/>
    <w:rsid w:val="00BB146D"/>
    <w:rsid w:val="00BB3E9B"/>
    <w:rsid w:val="00BB40E3"/>
    <w:rsid w:val="00BB41B2"/>
    <w:rsid w:val="00BB5005"/>
    <w:rsid w:val="00BB5363"/>
    <w:rsid w:val="00BB6AC5"/>
    <w:rsid w:val="00BC0D8E"/>
    <w:rsid w:val="00BC2A16"/>
    <w:rsid w:val="00BC3446"/>
    <w:rsid w:val="00BC3CF0"/>
    <w:rsid w:val="00BD10AC"/>
    <w:rsid w:val="00BD36F8"/>
    <w:rsid w:val="00BD3F6E"/>
    <w:rsid w:val="00BD66D4"/>
    <w:rsid w:val="00BE0DC9"/>
    <w:rsid w:val="00BE2BB6"/>
    <w:rsid w:val="00BE4351"/>
    <w:rsid w:val="00BE482A"/>
    <w:rsid w:val="00BF0DD2"/>
    <w:rsid w:val="00BF359D"/>
    <w:rsid w:val="00BF3FC1"/>
    <w:rsid w:val="00BF5FBA"/>
    <w:rsid w:val="00BF7711"/>
    <w:rsid w:val="00BF774C"/>
    <w:rsid w:val="00C0063E"/>
    <w:rsid w:val="00C00E7B"/>
    <w:rsid w:val="00C05A11"/>
    <w:rsid w:val="00C07083"/>
    <w:rsid w:val="00C112A2"/>
    <w:rsid w:val="00C120C8"/>
    <w:rsid w:val="00C15849"/>
    <w:rsid w:val="00C15D7F"/>
    <w:rsid w:val="00C1749A"/>
    <w:rsid w:val="00C21F99"/>
    <w:rsid w:val="00C23B8A"/>
    <w:rsid w:val="00C23D25"/>
    <w:rsid w:val="00C30B28"/>
    <w:rsid w:val="00C3233B"/>
    <w:rsid w:val="00C32B6E"/>
    <w:rsid w:val="00C34644"/>
    <w:rsid w:val="00C3512A"/>
    <w:rsid w:val="00C358E2"/>
    <w:rsid w:val="00C362BF"/>
    <w:rsid w:val="00C37E80"/>
    <w:rsid w:val="00C41D9E"/>
    <w:rsid w:val="00C442FE"/>
    <w:rsid w:val="00C45E88"/>
    <w:rsid w:val="00C46A2E"/>
    <w:rsid w:val="00C509B5"/>
    <w:rsid w:val="00C50F2C"/>
    <w:rsid w:val="00C51B1A"/>
    <w:rsid w:val="00C52B9C"/>
    <w:rsid w:val="00C5376D"/>
    <w:rsid w:val="00C54BD4"/>
    <w:rsid w:val="00C57193"/>
    <w:rsid w:val="00C57704"/>
    <w:rsid w:val="00C57B02"/>
    <w:rsid w:val="00C61902"/>
    <w:rsid w:val="00C62F5E"/>
    <w:rsid w:val="00C63362"/>
    <w:rsid w:val="00C664A8"/>
    <w:rsid w:val="00C67C24"/>
    <w:rsid w:val="00C703ED"/>
    <w:rsid w:val="00C73308"/>
    <w:rsid w:val="00C74247"/>
    <w:rsid w:val="00C74E49"/>
    <w:rsid w:val="00C77793"/>
    <w:rsid w:val="00C77BD8"/>
    <w:rsid w:val="00C77C86"/>
    <w:rsid w:val="00C77C92"/>
    <w:rsid w:val="00C8004E"/>
    <w:rsid w:val="00C838EB"/>
    <w:rsid w:val="00C85E89"/>
    <w:rsid w:val="00C878BE"/>
    <w:rsid w:val="00C91C2A"/>
    <w:rsid w:val="00C93C8D"/>
    <w:rsid w:val="00C93EDF"/>
    <w:rsid w:val="00C96272"/>
    <w:rsid w:val="00C967CA"/>
    <w:rsid w:val="00C97B62"/>
    <w:rsid w:val="00CA2FBB"/>
    <w:rsid w:val="00CA3441"/>
    <w:rsid w:val="00CA583D"/>
    <w:rsid w:val="00CA749A"/>
    <w:rsid w:val="00CA7AE5"/>
    <w:rsid w:val="00CB1A74"/>
    <w:rsid w:val="00CB3CE6"/>
    <w:rsid w:val="00CB65F0"/>
    <w:rsid w:val="00CC0EE7"/>
    <w:rsid w:val="00CC23B0"/>
    <w:rsid w:val="00CC3FD2"/>
    <w:rsid w:val="00CC569A"/>
    <w:rsid w:val="00CC6C2F"/>
    <w:rsid w:val="00CC71F4"/>
    <w:rsid w:val="00CD0419"/>
    <w:rsid w:val="00CD4C10"/>
    <w:rsid w:val="00CD6040"/>
    <w:rsid w:val="00CE0612"/>
    <w:rsid w:val="00CE103E"/>
    <w:rsid w:val="00CE389B"/>
    <w:rsid w:val="00CE68BC"/>
    <w:rsid w:val="00CE7352"/>
    <w:rsid w:val="00CF60D4"/>
    <w:rsid w:val="00CF6E51"/>
    <w:rsid w:val="00CF777B"/>
    <w:rsid w:val="00D011A9"/>
    <w:rsid w:val="00D05648"/>
    <w:rsid w:val="00D07397"/>
    <w:rsid w:val="00D109AF"/>
    <w:rsid w:val="00D11D60"/>
    <w:rsid w:val="00D1470A"/>
    <w:rsid w:val="00D15BBD"/>
    <w:rsid w:val="00D16499"/>
    <w:rsid w:val="00D235B7"/>
    <w:rsid w:val="00D23611"/>
    <w:rsid w:val="00D25410"/>
    <w:rsid w:val="00D27E09"/>
    <w:rsid w:val="00D30567"/>
    <w:rsid w:val="00D3144C"/>
    <w:rsid w:val="00D317D6"/>
    <w:rsid w:val="00D34B46"/>
    <w:rsid w:val="00D36A26"/>
    <w:rsid w:val="00D36E92"/>
    <w:rsid w:val="00D418B1"/>
    <w:rsid w:val="00D43761"/>
    <w:rsid w:val="00D45688"/>
    <w:rsid w:val="00D469C6"/>
    <w:rsid w:val="00D46E24"/>
    <w:rsid w:val="00D47745"/>
    <w:rsid w:val="00D5126D"/>
    <w:rsid w:val="00D5161F"/>
    <w:rsid w:val="00D51DF1"/>
    <w:rsid w:val="00D531DD"/>
    <w:rsid w:val="00D54B05"/>
    <w:rsid w:val="00D552E7"/>
    <w:rsid w:val="00D561FC"/>
    <w:rsid w:val="00D56415"/>
    <w:rsid w:val="00D63631"/>
    <w:rsid w:val="00D644F9"/>
    <w:rsid w:val="00D66414"/>
    <w:rsid w:val="00D71ECC"/>
    <w:rsid w:val="00D726CA"/>
    <w:rsid w:val="00D7579F"/>
    <w:rsid w:val="00D76E63"/>
    <w:rsid w:val="00D775BB"/>
    <w:rsid w:val="00D818D6"/>
    <w:rsid w:val="00D82CF2"/>
    <w:rsid w:val="00D85778"/>
    <w:rsid w:val="00D85D4D"/>
    <w:rsid w:val="00D90594"/>
    <w:rsid w:val="00D91472"/>
    <w:rsid w:val="00D93819"/>
    <w:rsid w:val="00D9439B"/>
    <w:rsid w:val="00D95A21"/>
    <w:rsid w:val="00D97D02"/>
    <w:rsid w:val="00DA0034"/>
    <w:rsid w:val="00DA2FF5"/>
    <w:rsid w:val="00DA658C"/>
    <w:rsid w:val="00DA69D2"/>
    <w:rsid w:val="00DB1058"/>
    <w:rsid w:val="00DB3701"/>
    <w:rsid w:val="00DB4045"/>
    <w:rsid w:val="00DB4115"/>
    <w:rsid w:val="00DB412C"/>
    <w:rsid w:val="00DB5006"/>
    <w:rsid w:val="00DC0DFA"/>
    <w:rsid w:val="00DC1E0E"/>
    <w:rsid w:val="00DC4E0F"/>
    <w:rsid w:val="00DC5479"/>
    <w:rsid w:val="00DC6E54"/>
    <w:rsid w:val="00DD1DBC"/>
    <w:rsid w:val="00DE4C97"/>
    <w:rsid w:val="00DE75DF"/>
    <w:rsid w:val="00DF005F"/>
    <w:rsid w:val="00DF01F0"/>
    <w:rsid w:val="00DF14F2"/>
    <w:rsid w:val="00DF3479"/>
    <w:rsid w:val="00E042F1"/>
    <w:rsid w:val="00E04821"/>
    <w:rsid w:val="00E05A80"/>
    <w:rsid w:val="00E1222B"/>
    <w:rsid w:val="00E14548"/>
    <w:rsid w:val="00E224F6"/>
    <w:rsid w:val="00E23F6C"/>
    <w:rsid w:val="00E2430E"/>
    <w:rsid w:val="00E26FAB"/>
    <w:rsid w:val="00E30DA3"/>
    <w:rsid w:val="00E32C53"/>
    <w:rsid w:val="00E335ED"/>
    <w:rsid w:val="00E365D6"/>
    <w:rsid w:val="00E36B7D"/>
    <w:rsid w:val="00E36F5B"/>
    <w:rsid w:val="00E3744A"/>
    <w:rsid w:val="00E407BD"/>
    <w:rsid w:val="00E41B98"/>
    <w:rsid w:val="00E456A2"/>
    <w:rsid w:val="00E45C43"/>
    <w:rsid w:val="00E45DD3"/>
    <w:rsid w:val="00E45F24"/>
    <w:rsid w:val="00E45F6A"/>
    <w:rsid w:val="00E46913"/>
    <w:rsid w:val="00E50410"/>
    <w:rsid w:val="00E542BD"/>
    <w:rsid w:val="00E54FF3"/>
    <w:rsid w:val="00E5506D"/>
    <w:rsid w:val="00E556F1"/>
    <w:rsid w:val="00E6187A"/>
    <w:rsid w:val="00E64EBA"/>
    <w:rsid w:val="00E6580D"/>
    <w:rsid w:val="00E67DE7"/>
    <w:rsid w:val="00E70567"/>
    <w:rsid w:val="00E71691"/>
    <w:rsid w:val="00E71B00"/>
    <w:rsid w:val="00E71C63"/>
    <w:rsid w:val="00E74944"/>
    <w:rsid w:val="00E75023"/>
    <w:rsid w:val="00E81773"/>
    <w:rsid w:val="00E84D2B"/>
    <w:rsid w:val="00E944C7"/>
    <w:rsid w:val="00E9734A"/>
    <w:rsid w:val="00EA3A5F"/>
    <w:rsid w:val="00EA3BD1"/>
    <w:rsid w:val="00EA4BB0"/>
    <w:rsid w:val="00EA5428"/>
    <w:rsid w:val="00EA672D"/>
    <w:rsid w:val="00EA7EA2"/>
    <w:rsid w:val="00EA7EEA"/>
    <w:rsid w:val="00EB04E2"/>
    <w:rsid w:val="00EB0559"/>
    <w:rsid w:val="00EB06C9"/>
    <w:rsid w:val="00EB474D"/>
    <w:rsid w:val="00EB4C25"/>
    <w:rsid w:val="00EC1212"/>
    <w:rsid w:val="00EC7A33"/>
    <w:rsid w:val="00EC7BC8"/>
    <w:rsid w:val="00ED17F1"/>
    <w:rsid w:val="00ED2F61"/>
    <w:rsid w:val="00ED3571"/>
    <w:rsid w:val="00ED3C4D"/>
    <w:rsid w:val="00ED5202"/>
    <w:rsid w:val="00ED571E"/>
    <w:rsid w:val="00EE0741"/>
    <w:rsid w:val="00EE3D5D"/>
    <w:rsid w:val="00EE3ED3"/>
    <w:rsid w:val="00EE6A3D"/>
    <w:rsid w:val="00EE6DAA"/>
    <w:rsid w:val="00EF07A7"/>
    <w:rsid w:val="00EF2FFF"/>
    <w:rsid w:val="00EF302F"/>
    <w:rsid w:val="00EF40EE"/>
    <w:rsid w:val="00EF58F6"/>
    <w:rsid w:val="00F002D1"/>
    <w:rsid w:val="00F00341"/>
    <w:rsid w:val="00F017C7"/>
    <w:rsid w:val="00F01D08"/>
    <w:rsid w:val="00F0246C"/>
    <w:rsid w:val="00F047D3"/>
    <w:rsid w:val="00F059C9"/>
    <w:rsid w:val="00F07BB2"/>
    <w:rsid w:val="00F07F60"/>
    <w:rsid w:val="00F07FB7"/>
    <w:rsid w:val="00F11CED"/>
    <w:rsid w:val="00F158CB"/>
    <w:rsid w:val="00F1599A"/>
    <w:rsid w:val="00F161AE"/>
    <w:rsid w:val="00F20083"/>
    <w:rsid w:val="00F2059D"/>
    <w:rsid w:val="00F2109A"/>
    <w:rsid w:val="00F2678B"/>
    <w:rsid w:val="00F26D67"/>
    <w:rsid w:val="00F3123F"/>
    <w:rsid w:val="00F316FE"/>
    <w:rsid w:val="00F320F1"/>
    <w:rsid w:val="00F3434C"/>
    <w:rsid w:val="00F4006B"/>
    <w:rsid w:val="00F404D5"/>
    <w:rsid w:val="00F41A27"/>
    <w:rsid w:val="00F4410F"/>
    <w:rsid w:val="00F467EA"/>
    <w:rsid w:val="00F50C2E"/>
    <w:rsid w:val="00F50DAF"/>
    <w:rsid w:val="00F517AB"/>
    <w:rsid w:val="00F52F23"/>
    <w:rsid w:val="00F53AC8"/>
    <w:rsid w:val="00F56AA2"/>
    <w:rsid w:val="00F573A4"/>
    <w:rsid w:val="00F61F84"/>
    <w:rsid w:val="00F634B9"/>
    <w:rsid w:val="00F641EC"/>
    <w:rsid w:val="00F66574"/>
    <w:rsid w:val="00F70425"/>
    <w:rsid w:val="00F73E33"/>
    <w:rsid w:val="00F74C3D"/>
    <w:rsid w:val="00F75526"/>
    <w:rsid w:val="00F80455"/>
    <w:rsid w:val="00F8097D"/>
    <w:rsid w:val="00F82977"/>
    <w:rsid w:val="00F83C95"/>
    <w:rsid w:val="00F85192"/>
    <w:rsid w:val="00F86622"/>
    <w:rsid w:val="00F86E02"/>
    <w:rsid w:val="00F900C9"/>
    <w:rsid w:val="00F90BAE"/>
    <w:rsid w:val="00F94A27"/>
    <w:rsid w:val="00F978E0"/>
    <w:rsid w:val="00FA0311"/>
    <w:rsid w:val="00FA0B23"/>
    <w:rsid w:val="00FA10C6"/>
    <w:rsid w:val="00FA3851"/>
    <w:rsid w:val="00FA5675"/>
    <w:rsid w:val="00FA5A0F"/>
    <w:rsid w:val="00FA6ACF"/>
    <w:rsid w:val="00FA7693"/>
    <w:rsid w:val="00FB422F"/>
    <w:rsid w:val="00FB6FC2"/>
    <w:rsid w:val="00FB7EA1"/>
    <w:rsid w:val="00FC2A82"/>
    <w:rsid w:val="00FC592B"/>
    <w:rsid w:val="00FC7935"/>
    <w:rsid w:val="00FD3B12"/>
    <w:rsid w:val="00FD485A"/>
    <w:rsid w:val="00FE500A"/>
    <w:rsid w:val="00FE7C24"/>
    <w:rsid w:val="00FF34BE"/>
    <w:rsid w:val="00FF5B01"/>
    <w:rsid w:val="00FF6A29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C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84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2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7E48"/>
    <w:rPr>
      <w:b/>
      <w:bCs/>
    </w:rPr>
  </w:style>
  <w:style w:type="paragraph" w:styleId="Paragraphedeliste">
    <w:name w:val="List Paragraph"/>
    <w:basedOn w:val="Normal"/>
    <w:uiPriority w:val="34"/>
    <w:qFormat/>
    <w:rsid w:val="005E7E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42B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2B7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8B6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 w:cs="Calibri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B68AD"/>
    <w:rPr>
      <w:rFonts w:eastAsia="Times New Roman" w:cs="Calibri"/>
      <w:sz w:val="28"/>
      <w:szCs w:val="24"/>
    </w:rPr>
  </w:style>
  <w:style w:type="paragraph" w:styleId="Retraitcorpsdetexte3">
    <w:name w:val="Body Text Indent 3"/>
    <w:basedOn w:val="Normal"/>
    <w:link w:val="Retraitcorpsdetexte3Car"/>
    <w:rsid w:val="008B6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 w:cs="Calibri"/>
      <w:color w:val="FF0000"/>
      <w:sz w:val="28"/>
      <w:szCs w:val="28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B68AD"/>
    <w:rPr>
      <w:rFonts w:eastAsia="Times New Roman" w:cs="Calibri"/>
      <w:color w:val="FF000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8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A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32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29F0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90300"/>
    <w:pPr>
      <w:tabs>
        <w:tab w:val="right" w:leader="dot" w:pos="9016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4329F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329F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329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9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file:///D:\Indicateurs%202014\INDICATEURS%20MENSUELS%20Mai%202014.xls!Feuil1!Zone_d_impression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b@brb.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48C3-8E87-49FC-AB5B-CCDF4B01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2512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Thierryve NIYOMANA</dc:creator>
  <cp:lastModifiedBy>KAIM</cp:lastModifiedBy>
  <cp:revision>4</cp:revision>
  <cp:lastPrinted>2014-08-07T06:45:00Z</cp:lastPrinted>
  <dcterms:created xsi:type="dcterms:W3CDTF">2014-08-04T08:24:00Z</dcterms:created>
  <dcterms:modified xsi:type="dcterms:W3CDTF">2014-08-07T07:30:00Z</dcterms:modified>
</cp:coreProperties>
</file>