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67" w:rsidRPr="00DD5F67" w:rsidRDefault="00CD2B3F">
      <w:pPr>
        <w:pStyle w:val="En-ttedetabledesmatires"/>
        <w:rPr>
          <w:rFonts w:ascii="Calibri" w:hAnsi="Calibri"/>
          <w:color w:val="0070C0"/>
          <w:sz w:val="24"/>
        </w:rPr>
      </w:pPr>
      <w:r w:rsidRPr="00DD5F67">
        <w:rPr>
          <w:rFonts w:ascii="Calibri" w:hAnsi="Calibri"/>
          <w:color w:val="0070C0"/>
          <w:sz w:val="24"/>
        </w:rPr>
        <w:t>TABLE DES MATIERES</w:t>
      </w:r>
    </w:p>
    <w:sdt>
      <w:sdtPr>
        <w:id w:val="9699333"/>
        <w:docPartObj>
          <w:docPartGallery w:val="Table of Contents"/>
          <w:docPartUnique/>
        </w:docPartObj>
      </w:sdtPr>
      <w:sdtContent>
        <w:p w:rsidR="00CD2B3F" w:rsidRDefault="00CD2B3F" w:rsidP="00DD5F67">
          <w:pPr>
            <w:widowControl w:val="0"/>
            <w:autoSpaceDE w:val="0"/>
            <w:autoSpaceDN w:val="0"/>
            <w:adjustRightInd w:val="0"/>
            <w:spacing w:after="120"/>
            <w:jc w:val="both"/>
          </w:pPr>
        </w:p>
        <w:p w:rsidR="00CD2B3F" w:rsidRPr="00CD2B3F" w:rsidRDefault="00344163">
          <w:pPr>
            <w:pStyle w:val="TM1"/>
            <w:tabs>
              <w:tab w:val="right" w:leader="dot" w:pos="9062"/>
            </w:tabs>
            <w:rPr>
              <w:b/>
              <w:noProof/>
            </w:rPr>
          </w:pPr>
          <w:r>
            <w:fldChar w:fldCharType="begin"/>
          </w:r>
          <w:r w:rsidR="00CD2B3F">
            <w:instrText xml:space="preserve"> TOC \o "1-3" \h \z \u </w:instrText>
          </w:r>
          <w:r>
            <w:fldChar w:fldCharType="separate"/>
          </w:r>
          <w:hyperlink w:anchor="_Toc375124033" w:history="1">
            <w:r w:rsidR="00CD2B3F" w:rsidRPr="00CD2B3F">
              <w:rPr>
                <w:rStyle w:val="Lienhypertexte"/>
                <w:rFonts w:ascii="Calibri" w:hAnsi="Calibri"/>
                <w:b/>
                <w:noProof/>
              </w:rPr>
              <w:t>I. INTRODUCTION</w:t>
            </w:r>
            <w:r w:rsidR="00CD2B3F" w:rsidRPr="00CD2B3F">
              <w:rPr>
                <w:b/>
                <w:noProof/>
                <w:webHidden/>
              </w:rPr>
              <w:tab/>
            </w:r>
            <w:r w:rsidRPr="00CD2B3F">
              <w:rPr>
                <w:b/>
                <w:noProof/>
                <w:webHidden/>
              </w:rPr>
              <w:fldChar w:fldCharType="begin"/>
            </w:r>
            <w:r w:rsidR="00CD2B3F" w:rsidRPr="00CD2B3F">
              <w:rPr>
                <w:b/>
                <w:noProof/>
                <w:webHidden/>
              </w:rPr>
              <w:instrText xml:space="preserve"> PAGEREF _Toc375124033 \h </w:instrText>
            </w:r>
            <w:r w:rsidRPr="00CD2B3F">
              <w:rPr>
                <w:b/>
                <w:noProof/>
                <w:webHidden/>
              </w:rPr>
            </w:r>
            <w:r w:rsidRPr="00CD2B3F">
              <w:rPr>
                <w:b/>
                <w:noProof/>
                <w:webHidden/>
              </w:rPr>
              <w:fldChar w:fldCharType="separate"/>
            </w:r>
            <w:r w:rsidR="00690C14">
              <w:rPr>
                <w:b/>
                <w:noProof/>
                <w:webHidden/>
              </w:rPr>
              <w:t>1</w:t>
            </w:r>
            <w:r w:rsidRPr="00CD2B3F">
              <w:rPr>
                <w:b/>
                <w:noProof/>
                <w:webHidden/>
              </w:rPr>
              <w:fldChar w:fldCharType="end"/>
            </w:r>
          </w:hyperlink>
        </w:p>
        <w:p w:rsidR="00CD2B3F" w:rsidRPr="00CD2B3F" w:rsidRDefault="00344163">
          <w:pPr>
            <w:pStyle w:val="TM1"/>
            <w:tabs>
              <w:tab w:val="right" w:leader="dot" w:pos="9062"/>
            </w:tabs>
            <w:rPr>
              <w:b/>
              <w:noProof/>
            </w:rPr>
          </w:pPr>
          <w:hyperlink w:anchor="_Toc375124034" w:history="1">
            <w:r w:rsidR="00CD2B3F" w:rsidRPr="00CD2B3F">
              <w:rPr>
                <w:rStyle w:val="Lienhypertexte"/>
                <w:rFonts w:ascii="Calibri" w:hAnsi="Calibri"/>
                <w:b/>
                <w:noProof/>
              </w:rPr>
              <w:t>II. PRODUCTION</w:t>
            </w:r>
            <w:r w:rsidR="00CD2B3F" w:rsidRPr="00CD2B3F">
              <w:rPr>
                <w:b/>
                <w:noProof/>
                <w:webHidden/>
              </w:rPr>
              <w:tab/>
            </w:r>
            <w:r w:rsidRPr="00CD2B3F">
              <w:rPr>
                <w:b/>
                <w:noProof/>
                <w:webHidden/>
              </w:rPr>
              <w:fldChar w:fldCharType="begin"/>
            </w:r>
            <w:r w:rsidR="00CD2B3F" w:rsidRPr="00CD2B3F">
              <w:rPr>
                <w:b/>
                <w:noProof/>
                <w:webHidden/>
              </w:rPr>
              <w:instrText xml:space="preserve"> PAGEREF _Toc375124034 \h </w:instrText>
            </w:r>
            <w:r w:rsidRPr="00CD2B3F">
              <w:rPr>
                <w:b/>
                <w:noProof/>
                <w:webHidden/>
              </w:rPr>
            </w:r>
            <w:r w:rsidRPr="00CD2B3F">
              <w:rPr>
                <w:b/>
                <w:noProof/>
                <w:webHidden/>
              </w:rPr>
              <w:fldChar w:fldCharType="separate"/>
            </w:r>
            <w:r w:rsidR="00690C14">
              <w:rPr>
                <w:b/>
                <w:noProof/>
                <w:webHidden/>
              </w:rPr>
              <w:t>1</w:t>
            </w:r>
            <w:r w:rsidRPr="00CD2B3F">
              <w:rPr>
                <w:b/>
                <w:noProof/>
                <w:webHidden/>
              </w:rPr>
              <w:fldChar w:fldCharType="end"/>
            </w:r>
          </w:hyperlink>
        </w:p>
        <w:p w:rsidR="00CD2B3F" w:rsidRPr="00CD2B3F" w:rsidRDefault="00344163">
          <w:pPr>
            <w:pStyle w:val="TM2"/>
            <w:tabs>
              <w:tab w:val="right" w:leader="dot" w:pos="9062"/>
            </w:tabs>
            <w:rPr>
              <w:noProof/>
            </w:rPr>
          </w:pPr>
          <w:hyperlink w:anchor="_Toc375124035" w:history="1">
            <w:r w:rsidR="00CD2B3F" w:rsidRPr="00CD2B3F">
              <w:rPr>
                <w:rStyle w:val="Lienhypertexte"/>
                <w:rFonts w:ascii="Calibri" w:hAnsi="Calibri"/>
                <w:noProof/>
              </w:rPr>
              <w:t>Indice de la production industrielle</w:t>
            </w:r>
            <w:r w:rsidR="00CD2B3F" w:rsidRPr="00CD2B3F">
              <w:rPr>
                <w:noProof/>
                <w:webHidden/>
              </w:rPr>
              <w:tab/>
            </w:r>
            <w:r w:rsidRPr="00CD2B3F">
              <w:rPr>
                <w:noProof/>
                <w:webHidden/>
              </w:rPr>
              <w:fldChar w:fldCharType="begin"/>
            </w:r>
            <w:r w:rsidR="00CD2B3F" w:rsidRPr="00CD2B3F">
              <w:rPr>
                <w:noProof/>
                <w:webHidden/>
              </w:rPr>
              <w:instrText xml:space="preserve"> PAGEREF _Toc375124035 \h </w:instrText>
            </w:r>
            <w:r w:rsidRPr="00CD2B3F">
              <w:rPr>
                <w:noProof/>
                <w:webHidden/>
              </w:rPr>
            </w:r>
            <w:r w:rsidRPr="00CD2B3F">
              <w:rPr>
                <w:noProof/>
                <w:webHidden/>
              </w:rPr>
              <w:fldChar w:fldCharType="separate"/>
            </w:r>
            <w:r w:rsidR="00690C14">
              <w:rPr>
                <w:noProof/>
                <w:webHidden/>
              </w:rPr>
              <w:t>1</w:t>
            </w:r>
            <w:r w:rsidRPr="00CD2B3F">
              <w:rPr>
                <w:noProof/>
                <w:webHidden/>
              </w:rPr>
              <w:fldChar w:fldCharType="end"/>
            </w:r>
          </w:hyperlink>
        </w:p>
        <w:p w:rsidR="00CD2B3F" w:rsidRPr="00CD2B3F" w:rsidRDefault="00344163">
          <w:pPr>
            <w:pStyle w:val="TM3"/>
            <w:tabs>
              <w:tab w:val="right" w:leader="dot" w:pos="9062"/>
            </w:tabs>
            <w:rPr>
              <w:noProof/>
            </w:rPr>
          </w:pPr>
          <w:hyperlink w:anchor="_Toc375124036" w:history="1">
            <w:r w:rsidR="00CD2B3F" w:rsidRPr="00CD2B3F">
              <w:rPr>
                <w:rStyle w:val="Lienhypertexte"/>
                <w:rFonts w:ascii="Calibri" w:hAnsi="Calibri"/>
                <w:noProof/>
              </w:rPr>
              <w:t>Café</w:t>
            </w:r>
            <w:r w:rsidR="00CD2B3F" w:rsidRPr="00CD2B3F">
              <w:rPr>
                <w:noProof/>
                <w:webHidden/>
              </w:rPr>
              <w:tab/>
            </w:r>
            <w:r w:rsidRPr="00CD2B3F">
              <w:rPr>
                <w:noProof/>
                <w:webHidden/>
              </w:rPr>
              <w:fldChar w:fldCharType="begin"/>
            </w:r>
            <w:r w:rsidR="00CD2B3F" w:rsidRPr="00CD2B3F">
              <w:rPr>
                <w:noProof/>
                <w:webHidden/>
              </w:rPr>
              <w:instrText xml:space="preserve"> PAGEREF _Toc375124036 \h </w:instrText>
            </w:r>
            <w:r w:rsidRPr="00CD2B3F">
              <w:rPr>
                <w:noProof/>
                <w:webHidden/>
              </w:rPr>
            </w:r>
            <w:r w:rsidRPr="00CD2B3F">
              <w:rPr>
                <w:noProof/>
                <w:webHidden/>
              </w:rPr>
              <w:fldChar w:fldCharType="separate"/>
            </w:r>
            <w:r w:rsidR="00690C14">
              <w:rPr>
                <w:noProof/>
                <w:webHidden/>
              </w:rPr>
              <w:t>1</w:t>
            </w:r>
            <w:r w:rsidRPr="00CD2B3F">
              <w:rPr>
                <w:noProof/>
                <w:webHidden/>
              </w:rPr>
              <w:fldChar w:fldCharType="end"/>
            </w:r>
          </w:hyperlink>
        </w:p>
        <w:p w:rsidR="00CD2B3F" w:rsidRPr="00CD2B3F" w:rsidRDefault="00344163">
          <w:pPr>
            <w:pStyle w:val="TM3"/>
            <w:tabs>
              <w:tab w:val="right" w:leader="dot" w:pos="9062"/>
            </w:tabs>
            <w:rPr>
              <w:noProof/>
            </w:rPr>
          </w:pPr>
          <w:hyperlink w:anchor="_Toc375124037" w:history="1">
            <w:r w:rsidR="00CD2B3F" w:rsidRPr="00CD2B3F">
              <w:rPr>
                <w:rStyle w:val="Lienhypertexte"/>
                <w:rFonts w:ascii="Calibri" w:hAnsi="Calibri"/>
                <w:noProof/>
              </w:rPr>
              <w:t>Thé</w:t>
            </w:r>
            <w:r w:rsidR="00CD2B3F" w:rsidRPr="00CD2B3F">
              <w:rPr>
                <w:noProof/>
                <w:webHidden/>
              </w:rPr>
              <w:tab/>
            </w:r>
            <w:r w:rsidRPr="00CD2B3F">
              <w:rPr>
                <w:noProof/>
                <w:webHidden/>
              </w:rPr>
              <w:fldChar w:fldCharType="begin"/>
            </w:r>
            <w:r w:rsidR="00CD2B3F" w:rsidRPr="00CD2B3F">
              <w:rPr>
                <w:noProof/>
                <w:webHidden/>
              </w:rPr>
              <w:instrText xml:space="preserve"> PAGEREF _Toc375124037 \h </w:instrText>
            </w:r>
            <w:r w:rsidRPr="00CD2B3F">
              <w:rPr>
                <w:noProof/>
                <w:webHidden/>
              </w:rPr>
            </w:r>
            <w:r w:rsidRPr="00CD2B3F">
              <w:rPr>
                <w:noProof/>
                <w:webHidden/>
              </w:rPr>
              <w:fldChar w:fldCharType="separate"/>
            </w:r>
            <w:r w:rsidR="00690C14">
              <w:rPr>
                <w:noProof/>
                <w:webHidden/>
              </w:rPr>
              <w:t>1</w:t>
            </w:r>
            <w:r w:rsidRPr="00CD2B3F">
              <w:rPr>
                <w:noProof/>
                <w:webHidden/>
              </w:rPr>
              <w:fldChar w:fldCharType="end"/>
            </w:r>
          </w:hyperlink>
        </w:p>
        <w:p w:rsidR="00CD2B3F" w:rsidRPr="00CD2B3F" w:rsidRDefault="00344163">
          <w:pPr>
            <w:pStyle w:val="TM1"/>
            <w:tabs>
              <w:tab w:val="right" w:leader="dot" w:pos="9062"/>
            </w:tabs>
            <w:rPr>
              <w:b/>
              <w:noProof/>
            </w:rPr>
          </w:pPr>
          <w:hyperlink w:anchor="_Toc375124038" w:history="1">
            <w:r w:rsidR="00CD2B3F" w:rsidRPr="00CD2B3F">
              <w:rPr>
                <w:rStyle w:val="Lienhypertexte"/>
                <w:b/>
                <w:noProof/>
              </w:rPr>
              <w:t>III. INDICE DES PRIX A LA CONSOMMATION</w:t>
            </w:r>
            <w:r w:rsidR="00CD2B3F" w:rsidRPr="00CD2B3F">
              <w:rPr>
                <w:b/>
                <w:noProof/>
                <w:webHidden/>
              </w:rPr>
              <w:tab/>
            </w:r>
            <w:r w:rsidRPr="00CD2B3F">
              <w:rPr>
                <w:b/>
                <w:noProof/>
                <w:webHidden/>
              </w:rPr>
              <w:fldChar w:fldCharType="begin"/>
            </w:r>
            <w:r w:rsidR="00CD2B3F" w:rsidRPr="00CD2B3F">
              <w:rPr>
                <w:b/>
                <w:noProof/>
                <w:webHidden/>
              </w:rPr>
              <w:instrText xml:space="preserve"> PAGEREF _Toc375124038 \h </w:instrText>
            </w:r>
            <w:r w:rsidRPr="00CD2B3F">
              <w:rPr>
                <w:b/>
                <w:noProof/>
                <w:webHidden/>
              </w:rPr>
            </w:r>
            <w:r w:rsidRPr="00CD2B3F">
              <w:rPr>
                <w:b/>
                <w:noProof/>
                <w:webHidden/>
              </w:rPr>
              <w:fldChar w:fldCharType="separate"/>
            </w:r>
            <w:r w:rsidR="00690C14">
              <w:rPr>
                <w:b/>
                <w:noProof/>
                <w:webHidden/>
              </w:rPr>
              <w:t>1</w:t>
            </w:r>
            <w:r w:rsidRPr="00CD2B3F">
              <w:rPr>
                <w:b/>
                <w:noProof/>
                <w:webHidden/>
              </w:rPr>
              <w:fldChar w:fldCharType="end"/>
            </w:r>
          </w:hyperlink>
        </w:p>
        <w:p w:rsidR="00CD2B3F" w:rsidRPr="00CD2B3F" w:rsidRDefault="00344163">
          <w:pPr>
            <w:pStyle w:val="TM1"/>
            <w:tabs>
              <w:tab w:val="right" w:leader="dot" w:pos="9062"/>
            </w:tabs>
            <w:rPr>
              <w:b/>
              <w:noProof/>
            </w:rPr>
          </w:pPr>
          <w:hyperlink w:anchor="_Toc375124039" w:history="1">
            <w:r w:rsidR="00CD2B3F" w:rsidRPr="00CD2B3F">
              <w:rPr>
                <w:rStyle w:val="Lienhypertexte"/>
                <w:b/>
                <w:noProof/>
              </w:rPr>
              <w:t>IV. FINANCES PUBLIQUES</w:t>
            </w:r>
            <w:r w:rsidR="00CD2B3F" w:rsidRPr="00CD2B3F">
              <w:rPr>
                <w:b/>
                <w:noProof/>
                <w:webHidden/>
              </w:rPr>
              <w:tab/>
            </w:r>
            <w:r w:rsidRPr="00CD2B3F">
              <w:rPr>
                <w:b/>
                <w:noProof/>
                <w:webHidden/>
              </w:rPr>
              <w:fldChar w:fldCharType="begin"/>
            </w:r>
            <w:r w:rsidR="00CD2B3F" w:rsidRPr="00CD2B3F">
              <w:rPr>
                <w:b/>
                <w:noProof/>
                <w:webHidden/>
              </w:rPr>
              <w:instrText xml:space="preserve"> PAGEREF _Toc375124039 \h </w:instrText>
            </w:r>
            <w:r w:rsidRPr="00CD2B3F">
              <w:rPr>
                <w:b/>
                <w:noProof/>
                <w:webHidden/>
              </w:rPr>
            </w:r>
            <w:r w:rsidRPr="00CD2B3F">
              <w:rPr>
                <w:b/>
                <w:noProof/>
                <w:webHidden/>
              </w:rPr>
              <w:fldChar w:fldCharType="separate"/>
            </w:r>
            <w:r w:rsidR="00690C14">
              <w:rPr>
                <w:b/>
                <w:noProof/>
                <w:webHidden/>
              </w:rPr>
              <w:t>2</w:t>
            </w:r>
            <w:r w:rsidRPr="00CD2B3F">
              <w:rPr>
                <w:b/>
                <w:noProof/>
                <w:webHidden/>
              </w:rPr>
              <w:fldChar w:fldCharType="end"/>
            </w:r>
          </w:hyperlink>
        </w:p>
        <w:p w:rsidR="00CD2B3F" w:rsidRPr="00532A69" w:rsidRDefault="00344163">
          <w:pPr>
            <w:pStyle w:val="TM2"/>
            <w:tabs>
              <w:tab w:val="right" w:leader="dot" w:pos="9062"/>
            </w:tabs>
            <w:rPr>
              <w:noProof/>
            </w:rPr>
          </w:pPr>
          <w:hyperlink w:anchor="_Toc375124040" w:history="1">
            <w:r w:rsidR="00CD2B3F" w:rsidRPr="00532A69">
              <w:rPr>
                <w:rStyle w:val="Lienhypertexte"/>
                <w:noProof/>
              </w:rPr>
              <w:t>Recettes</w:t>
            </w:r>
            <w:r w:rsidR="00CD2B3F" w:rsidRPr="00532A69">
              <w:rPr>
                <w:noProof/>
                <w:webHidden/>
              </w:rPr>
              <w:tab/>
            </w:r>
            <w:r w:rsidRPr="00532A69">
              <w:rPr>
                <w:noProof/>
                <w:webHidden/>
              </w:rPr>
              <w:fldChar w:fldCharType="begin"/>
            </w:r>
            <w:r w:rsidR="00CD2B3F" w:rsidRPr="00532A69">
              <w:rPr>
                <w:noProof/>
                <w:webHidden/>
              </w:rPr>
              <w:instrText xml:space="preserve"> PAGEREF _Toc375124040 \h </w:instrText>
            </w:r>
            <w:r w:rsidRPr="00532A69">
              <w:rPr>
                <w:noProof/>
                <w:webHidden/>
              </w:rPr>
            </w:r>
            <w:r w:rsidRPr="00532A69">
              <w:rPr>
                <w:noProof/>
                <w:webHidden/>
              </w:rPr>
              <w:fldChar w:fldCharType="separate"/>
            </w:r>
            <w:r w:rsidR="00690C14">
              <w:rPr>
                <w:noProof/>
                <w:webHidden/>
              </w:rPr>
              <w:t>2</w:t>
            </w:r>
            <w:r w:rsidRPr="00532A69">
              <w:rPr>
                <w:noProof/>
                <w:webHidden/>
              </w:rPr>
              <w:fldChar w:fldCharType="end"/>
            </w:r>
          </w:hyperlink>
        </w:p>
        <w:p w:rsidR="00CD2B3F" w:rsidRPr="00532A69" w:rsidRDefault="00344163">
          <w:pPr>
            <w:pStyle w:val="TM2"/>
            <w:tabs>
              <w:tab w:val="right" w:leader="dot" w:pos="9062"/>
            </w:tabs>
            <w:rPr>
              <w:noProof/>
            </w:rPr>
          </w:pPr>
          <w:hyperlink w:anchor="_Toc375124041" w:history="1">
            <w:r w:rsidR="00CD2B3F" w:rsidRPr="00532A69">
              <w:rPr>
                <w:rStyle w:val="Lienhypertexte"/>
                <w:noProof/>
              </w:rPr>
              <w:t>Dépenses</w:t>
            </w:r>
            <w:r w:rsidR="00CD2B3F" w:rsidRPr="00532A69">
              <w:rPr>
                <w:noProof/>
                <w:webHidden/>
              </w:rPr>
              <w:tab/>
            </w:r>
            <w:r w:rsidRPr="00532A69">
              <w:rPr>
                <w:noProof/>
                <w:webHidden/>
              </w:rPr>
              <w:fldChar w:fldCharType="begin"/>
            </w:r>
            <w:r w:rsidR="00CD2B3F" w:rsidRPr="00532A69">
              <w:rPr>
                <w:noProof/>
                <w:webHidden/>
              </w:rPr>
              <w:instrText xml:space="preserve"> PAGEREF _Toc375124041 \h </w:instrText>
            </w:r>
            <w:r w:rsidRPr="00532A69">
              <w:rPr>
                <w:noProof/>
                <w:webHidden/>
              </w:rPr>
            </w:r>
            <w:r w:rsidRPr="00532A69">
              <w:rPr>
                <w:noProof/>
                <w:webHidden/>
              </w:rPr>
              <w:fldChar w:fldCharType="separate"/>
            </w:r>
            <w:r w:rsidR="00690C14">
              <w:rPr>
                <w:noProof/>
                <w:webHidden/>
              </w:rPr>
              <w:t>2</w:t>
            </w:r>
            <w:r w:rsidRPr="00532A69">
              <w:rPr>
                <w:noProof/>
                <w:webHidden/>
              </w:rPr>
              <w:fldChar w:fldCharType="end"/>
            </w:r>
          </w:hyperlink>
        </w:p>
        <w:p w:rsidR="00CD2B3F" w:rsidRPr="00532A69" w:rsidRDefault="00344163">
          <w:pPr>
            <w:pStyle w:val="TM2"/>
            <w:tabs>
              <w:tab w:val="right" w:leader="dot" w:pos="9062"/>
            </w:tabs>
            <w:rPr>
              <w:noProof/>
            </w:rPr>
          </w:pPr>
          <w:hyperlink w:anchor="_Toc375124042" w:history="1">
            <w:r w:rsidR="00CD2B3F" w:rsidRPr="00532A69">
              <w:rPr>
                <w:rStyle w:val="Lienhypertexte"/>
                <w:noProof/>
              </w:rPr>
              <w:t>Dette publique</w:t>
            </w:r>
            <w:r w:rsidR="00CD2B3F" w:rsidRPr="00532A69">
              <w:rPr>
                <w:noProof/>
                <w:webHidden/>
              </w:rPr>
              <w:tab/>
            </w:r>
            <w:r w:rsidRPr="00532A69">
              <w:rPr>
                <w:noProof/>
                <w:webHidden/>
              </w:rPr>
              <w:fldChar w:fldCharType="begin"/>
            </w:r>
            <w:r w:rsidR="00CD2B3F" w:rsidRPr="00532A69">
              <w:rPr>
                <w:noProof/>
                <w:webHidden/>
              </w:rPr>
              <w:instrText xml:space="preserve"> PAGEREF _Toc375124042 \h </w:instrText>
            </w:r>
            <w:r w:rsidRPr="00532A69">
              <w:rPr>
                <w:noProof/>
                <w:webHidden/>
              </w:rPr>
            </w:r>
            <w:r w:rsidRPr="00532A69">
              <w:rPr>
                <w:noProof/>
                <w:webHidden/>
              </w:rPr>
              <w:fldChar w:fldCharType="separate"/>
            </w:r>
            <w:r w:rsidR="00690C14">
              <w:rPr>
                <w:noProof/>
                <w:webHidden/>
              </w:rPr>
              <w:t>2</w:t>
            </w:r>
            <w:r w:rsidRPr="00532A69">
              <w:rPr>
                <w:noProof/>
                <w:webHidden/>
              </w:rPr>
              <w:fldChar w:fldCharType="end"/>
            </w:r>
          </w:hyperlink>
        </w:p>
        <w:p w:rsidR="00CD2B3F" w:rsidRPr="00532A69" w:rsidRDefault="00344163">
          <w:pPr>
            <w:pStyle w:val="TM3"/>
            <w:tabs>
              <w:tab w:val="right" w:leader="dot" w:pos="9062"/>
            </w:tabs>
            <w:rPr>
              <w:noProof/>
            </w:rPr>
          </w:pPr>
          <w:hyperlink w:anchor="_Toc375124043" w:history="1">
            <w:r w:rsidR="00CD2B3F" w:rsidRPr="00532A69">
              <w:rPr>
                <w:rStyle w:val="Lienhypertexte"/>
                <w:noProof/>
              </w:rPr>
              <w:t>- Dette intérieure</w:t>
            </w:r>
            <w:r w:rsidR="00CD2B3F" w:rsidRPr="00532A69">
              <w:rPr>
                <w:noProof/>
                <w:webHidden/>
              </w:rPr>
              <w:tab/>
            </w:r>
            <w:r w:rsidRPr="00532A69">
              <w:rPr>
                <w:noProof/>
                <w:webHidden/>
              </w:rPr>
              <w:fldChar w:fldCharType="begin"/>
            </w:r>
            <w:r w:rsidR="00CD2B3F" w:rsidRPr="00532A69">
              <w:rPr>
                <w:noProof/>
                <w:webHidden/>
              </w:rPr>
              <w:instrText xml:space="preserve"> PAGEREF _Toc375124043 \h </w:instrText>
            </w:r>
            <w:r w:rsidRPr="00532A69">
              <w:rPr>
                <w:noProof/>
                <w:webHidden/>
              </w:rPr>
            </w:r>
            <w:r w:rsidRPr="00532A69">
              <w:rPr>
                <w:noProof/>
                <w:webHidden/>
              </w:rPr>
              <w:fldChar w:fldCharType="separate"/>
            </w:r>
            <w:r w:rsidR="00690C14">
              <w:rPr>
                <w:noProof/>
                <w:webHidden/>
              </w:rPr>
              <w:t>2</w:t>
            </w:r>
            <w:r w:rsidRPr="00532A69">
              <w:rPr>
                <w:noProof/>
                <w:webHidden/>
              </w:rPr>
              <w:fldChar w:fldCharType="end"/>
            </w:r>
          </w:hyperlink>
        </w:p>
        <w:p w:rsidR="00CD2B3F" w:rsidRPr="00532A69" w:rsidRDefault="00344163">
          <w:pPr>
            <w:pStyle w:val="TM3"/>
            <w:tabs>
              <w:tab w:val="right" w:leader="dot" w:pos="9062"/>
            </w:tabs>
            <w:rPr>
              <w:noProof/>
            </w:rPr>
          </w:pPr>
          <w:hyperlink w:anchor="_Toc375124044" w:history="1">
            <w:r w:rsidR="00CD2B3F" w:rsidRPr="00532A69">
              <w:rPr>
                <w:rStyle w:val="Lienhypertexte"/>
                <w:noProof/>
              </w:rPr>
              <w:t>- Dette extérieure</w:t>
            </w:r>
            <w:r w:rsidR="00CD2B3F" w:rsidRPr="00532A69">
              <w:rPr>
                <w:noProof/>
                <w:webHidden/>
              </w:rPr>
              <w:tab/>
            </w:r>
            <w:r w:rsidRPr="00532A69">
              <w:rPr>
                <w:noProof/>
                <w:webHidden/>
              </w:rPr>
              <w:fldChar w:fldCharType="begin"/>
            </w:r>
            <w:r w:rsidR="00CD2B3F" w:rsidRPr="00532A69">
              <w:rPr>
                <w:noProof/>
                <w:webHidden/>
              </w:rPr>
              <w:instrText xml:space="preserve"> PAGEREF _Toc375124044 \h </w:instrText>
            </w:r>
            <w:r w:rsidRPr="00532A69">
              <w:rPr>
                <w:noProof/>
                <w:webHidden/>
              </w:rPr>
            </w:r>
            <w:r w:rsidRPr="00532A69">
              <w:rPr>
                <w:noProof/>
                <w:webHidden/>
              </w:rPr>
              <w:fldChar w:fldCharType="separate"/>
            </w:r>
            <w:r w:rsidR="00690C14">
              <w:rPr>
                <w:noProof/>
                <w:webHidden/>
              </w:rPr>
              <w:t>3</w:t>
            </w:r>
            <w:r w:rsidRPr="00532A69">
              <w:rPr>
                <w:noProof/>
                <w:webHidden/>
              </w:rPr>
              <w:fldChar w:fldCharType="end"/>
            </w:r>
          </w:hyperlink>
        </w:p>
        <w:p w:rsidR="00CD2B3F" w:rsidRPr="00CD2B3F" w:rsidRDefault="00344163">
          <w:pPr>
            <w:pStyle w:val="TM1"/>
            <w:tabs>
              <w:tab w:val="right" w:leader="dot" w:pos="9062"/>
            </w:tabs>
            <w:rPr>
              <w:b/>
              <w:noProof/>
            </w:rPr>
          </w:pPr>
          <w:hyperlink w:anchor="_Toc375124045" w:history="1">
            <w:r w:rsidR="00CD2B3F" w:rsidRPr="00CD2B3F">
              <w:rPr>
                <w:rStyle w:val="Lienhypertexte"/>
                <w:rFonts w:ascii="Calibri" w:eastAsia="Calibri" w:hAnsi="Calibri" w:cs="Times New Roman"/>
                <w:b/>
                <w:noProof/>
              </w:rPr>
              <w:t>V.  BASE MONETAIRE, MASSE MONETAIRE ET SES CONTREPARTIES</w:t>
            </w:r>
            <w:r w:rsidR="00CD2B3F" w:rsidRPr="00CD2B3F">
              <w:rPr>
                <w:b/>
                <w:noProof/>
                <w:webHidden/>
              </w:rPr>
              <w:tab/>
            </w:r>
            <w:r w:rsidRPr="00CD2B3F">
              <w:rPr>
                <w:b/>
                <w:noProof/>
                <w:webHidden/>
              </w:rPr>
              <w:fldChar w:fldCharType="begin"/>
            </w:r>
            <w:r w:rsidR="00CD2B3F" w:rsidRPr="00CD2B3F">
              <w:rPr>
                <w:b/>
                <w:noProof/>
                <w:webHidden/>
              </w:rPr>
              <w:instrText xml:space="preserve"> PAGEREF _Toc375124045 \h </w:instrText>
            </w:r>
            <w:r w:rsidRPr="00CD2B3F">
              <w:rPr>
                <w:b/>
                <w:noProof/>
                <w:webHidden/>
              </w:rPr>
            </w:r>
            <w:r w:rsidRPr="00CD2B3F">
              <w:rPr>
                <w:b/>
                <w:noProof/>
                <w:webHidden/>
              </w:rPr>
              <w:fldChar w:fldCharType="separate"/>
            </w:r>
            <w:r w:rsidR="00690C14">
              <w:rPr>
                <w:b/>
                <w:noProof/>
                <w:webHidden/>
              </w:rPr>
              <w:t>3</w:t>
            </w:r>
            <w:r w:rsidRPr="00CD2B3F">
              <w:rPr>
                <w:b/>
                <w:noProof/>
                <w:webHidden/>
              </w:rPr>
              <w:fldChar w:fldCharType="end"/>
            </w:r>
          </w:hyperlink>
        </w:p>
        <w:p w:rsidR="00CD2B3F" w:rsidRPr="00532A69" w:rsidRDefault="00344163">
          <w:pPr>
            <w:pStyle w:val="TM2"/>
            <w:tabs>
              <w:tab w:val="right" w:leader="dot" w:pos="9062"/>
            </w:tabs>
            <w:rPr>
              <w:noProof/>
            </w:rPr>
          </w:pPr>
          <w:hyperlink w:anchor="_Toc375124046" w:history="1">
            <w:r w:rsidR="00CD2B3F" w:rsidRPr="00532A69">
              <w:rPr>
                <w:rStyle w:val="Lienhypertexte"/>
                <w:rFonts w:ascii="Calibri" w:eastAsia="Calibri" w:hAnsi="Calibri" w:cs="Times New Roman"/>
                <w:noProof/>
              </w:rPr>
              <w:t>Base monétaire</w:t>
            </w:r>
            <w:r w:rsidR="00CD2B3F" w:rsidRPr="00532A69">
              <w:rPr>
                <w:noProof/>
                <w:webHidden/>
              </w:rPr>
              <w:tab/>
            </w:r>
            <w:r w:rsidRPr="00532A69">
              <w:rPr>
                <w:noProof/>
                <w:webHidden/>
              </w:rPr>
              <w:fldChar w:fldCharType="begin"/>
            </w:r>
            <w:r w:rsidR="00CD2B3F" w:rsidRPr="00532A69">
              <w:rPr>
                <w:noProof/>
                <w:webHidden/>
              </w:rPr>
              <w:instrText xml:space="preserve"> PAGEREF _Toc375124046 \h </w:instrText>
            </w:r>
            <w:r w:rsidRPr="00532A69">
              <w:rPr>
                <w:noProof/>
                <w:webHidden/>
              </w:rPr>
            </w:r>
            <w:r w:rsidRPr="00532A69">
              <w:rPr>
                <w:noProof/>
                <w:webHidden/>
              </w:rPr>
              <w:fldChar w:fldCharType="separate"/>
            </w:r>
            <w:r w:rsidR="00690C14">
              <w:rPr>
                <w:noProof/>
                <w:webHidden/>
              </w:rPr>
              <w:t>3</w:t>
            </w:r>
            <w:r w:rsidRPr="00532A69">
              <w:rPr>
                <w:noProof/>
                <w:webHidden/>
              </w:rPr>
              <w:fldChar w:fldCharType="end"/>
            </w:r>
          </w:hyperlink>
        </w:p>
        <w:p w:rsidR="00CD2B3F" w:rsidRPr="00532A69" w:rsidRDefault="00344163">
          <w:pPr>
            <w:pStyle w:val="TM2"/>
            <w:tabs>
              <w:tab w:val="right" w:leader="dot" w:pos="9062"/>
            </w:tabs>
            <w:rPr>
              <w:noProof/>
            </w:rPr>
          </w:pPr>
          <w:hyperlink w:anchor="_Toc375124047" w:history="1">
            <w:r w:rsidR="00CD2B3F" w:rsidRPr="00532A69">
              <w:rPr>
                <w:rStyle w:val="Lienhypertexte"/>
                <w:rFonts w:ascii="Calibri" w:eastAsia="Calibri" w:hAnsi="Calibri" w:cs="Times New Roman"/>
                <w:noProof/>
              </w:rPr>
              <w:t>Masse monétaire</w:t>
            </w:r>
            <w:r w:rsidR="00CD2B3F" w:rsidRPr="00532A69">
              <w:rPr>
                <w:noProof/>
                <w:webHidden/>
              </w:rPr>
              <w:tab/>
            </w:r>
            <w:r w:rsidRPr="00532A69">
              <w:rPr>
                <w:noProof/>
                <w:webHidden/>
              </w:rPr>
              <w:fldChar w:fldCharType="begin"/>
            </w:r>
            <w:r w:rsidR="00CD2B3F" w:rsidRPr="00532A69">
              <w:rPr>
                <w:noProof/>
                <w:webHidden/>
              </w:rPr>
              <w:instrText xml:space="preserve"> PAGEREF _Toc375124047 \h </w:instrText>
            </w:r>
            <w:r w:rsidRPr="00532A69">
              <w:rPr>
                <w:noProof/>
                <w:webHidden/>
              </w:rPr>
            </w:r>
            <w:r w:rsidRPr="00532A69">
              <w:rPr>
                <w:noProof/>
                <w:webHidden/>
              </w:rPr>
              <w:fldChar w:fldCharType="separate"/>
            </w:r>
            <w:r w:rsidR="00690C14">
              <w:rPr>
                <w:noProof/>
                <w:webHidden/>
              </w:rPr>
              <w:t>3</w:t>
            </w:r>
            <w:r w:rsidRPr="00532A69">
              <w:rPr>
                <w:noProof/>
                <w:webHidden/>
              </w:rPr>
              <w:fldChar w:fldCharType="end"/>
            </w:r>
          </w:hyperlink>
        </w:p>
        <w:p w:rsidR="00CD2B3F" w:rsidRPr="00532A69" w:rsidRDefault="00344163">
          <w:pPr>
            <w:pStyle w:val="TM2"/>
            <w:tabs>
              <w:tab w:val="right" w:leader="dot" w:pos="9062"/>
            </w:tabs>
            <w:rPr>
              <w:noProof/>
            </w:rPr>
          </w:pPr>
          <w:hyperlink w:anchor="_Toc375124048" w:history="1">
            <w:r w:rsidR="00CD2B3F" w:rsidRPr="00532A69">
              <w:rPr>
                <w:rStyle w:val="Lienhypertexte"/>
                <w:rFonts w:ascii="Calibri" w:eastAsia="Calibri" w:hAnsi="Calibri" w:cs="Times New Roman"/>
                <w:noProof/>
              </w:rPr>
              <w:t>Contreparties</w:t>
            </w:r>
            <w:r w:rsidR="00CD2B3F" w:rsidRPr="00532A69">
              <w:rPr>
                <w:noProof/>
                <w:webHidden/>
              </w:rPr>
              <w:tab/>
            </w:r>
            <w:r w:rsidRPr="00532A69">
              <w:rPr>
                <w:noProof/>
                <w:webHidden/>
              </w:rPr>
              <w:fldChar w:fldCharType="begin"/>
            </w:r>
            <w:r w:rsidR="00CD2B3F" w:rsidRPr="00532A69">
              <w:rPr>
                <w:noProof/>
                <w:webHidden/>
              </w:rPr>
              <w:instrText xml:space="preserve"> PAGEREF _Toc375124048 \h </w:instrText>
            </w:r>
            <w:r w:rsidRPr="00532A69">
              <w:rPr>
                <w:noProof/>
                <w:webHidden/>
              </w:rPr>
            </w:r>
            <w:r w:rsidRPr="00532A69">
              <w:rPr>
                <w:noProof/>
                <w:webHidden/>
              </w:rPr>
              <w:fldChar w:fldCharType="separate"/>
            </w:r>
            <w:r w:rsidR="00690C14">
              <w:rPr>
                <w:noProof/>
                <w:webHidden/>
              </w:rPr>
              <w:t>4</w:t>
            </w:r>
            <w:r w:rsidRPr="00532A69">
              <w:rPr>
                <w:noProof/>
                <w:webHidden/>
              </w:rPr>
              <w:fldChar w:fldCharType="end"/>
            </w:r>
          </w:hyperlink>
        </w:p>
        <w:p w:rsidR="00CD2B3F" w:rsidRPr="00CD2B3F" w:rsidRDefault="00344163">
          <w:pPr>
            <w:pStyle w:val="TM1"/>
            <w:tabs>
              <w:tab w:val="right" w:leader="dot" w:pos="9062"/>
            </w:tabs>
            <w:rPr>
              <w:b/>
              <w:noProof/>
            </w:rPr>
          </w:pPr>
          <w:hyperlink w:anchor="_Toc375124049" w:history="1">
            <w:r w:rsidR="00CD2B3F" w:rsidRPr="00CD2B3F">
              <w:rPr>
                <w:rStyle w:val="Lienhypertexte"/>
                <w:b/>
                <w:noProof/>
              </w:rPr>
              <w:t>VI. COMMERCE EXTERIEUR</w:t>
            </w:r>
            <w:r w:rsidR="00CD2B3F" w:rsidRPr="00CD2B3F">
              <w:rPr>
                <w:b/>
                <w:noProof/>
                <w:webHidden/>
              </w:rPr>
              <w:tab/>
            </w:r>
            <w:r w:rsidRPr="00CD2B3F">
              <w:rPr>
                <w:b/>
                <w:noProof/>
                <w:webHidden/>
              </w:rPr>
              <w:fldChar w:fldCharType="begin"/>
            </w:r>
            <w:r w:rsidR="00CD2B3F" w:rsidRPr="00CD2B3F">
              <w:rPr>
                <w:b/>
                <w:noProof/>
                <w:webHidden/>
              </w:rPr>
              <w:instrText xml:space="preserve"> PAGEREF _Toc375124049 \h </w:instrText>
            </w:r>
            <w:r w:rsidRPr="00CD2B3F">
              <w:rPr>
                <w:b/>
                <w:noProof/>
                <w:webHidden/>
              </w:rPr>
            </w:r>
            <w:r w:rsidRPr="00CD2B3F">
              <w:rPr>
                <w:b/>
                <w:noProof/>
                <w:webHidden/>
              </w:rPr>
              <w:fldChar w:fldCharType="separate"/>
            </w:r>
            <w:r w:rsidR="00690C14">
              <w:rPr>
                <w:b/>
                <w:noProof/>
                <w:webHidden/>
              </w:rPr>
              <w:t>4</w:t>
            </w:r>
            <w:r w:rsidRPr="00CD2B3F">
              <w:rPr>
                <w:b/>
                <w:noProof/>
                <w:webHidden/>
              </w:rPr>
              <w:fldChar w:fldCharType="end"/>
            </w:r>
          </w:hyperlink>
        </w:p>
        <w:p w:rsidR="00CD2B3F" w:rsidRPr="00532A69" w:rsidRDefault="00344163">
          <w:pPr>
            <w:pStyle w:val="TM2"/>
            <w:tabs>
              <w:tab w:val="right" w:leader="dot" w:pos="9062"/>
            </w:tabs>
            <w:rPr>
              <w:noProof/>
            </w:rPr>
          </w:pPr>
          <w:hyperlink w:anchor="_Toc375124050" w:history="1">
            <w:r w:rsidR="00CD2B3F" w:rsidRPr="00532A69">
              <w:rPr>
                <w:rStyle w:val="Lienhypertexte"/>
                <w:noProof/>
              </w:rPr>
              <w:t>Exportations</w:t>
            </w:r>
            <w:r w:rsidR="00CD2B3F" w:rsidRPr="00532A69">
              <w:rPr>
                <w:noProof/>
                <w:webHidden/>
              </w:rPr>
              <w:tab/>
            </w:r>
            <w:r w:rsidRPr="00532A69">
              <w:rPr>
                <w:noProof/>
                <w:webHidden/>
              </w:rPr>
              <w:fldChar w:fldCharType="begin"/>
            </w:r>
            <w:r w:rsidR="00CD2B3F" w:rsidRPr="00532A69">
              <w:rPr>
                <w:noProof/>
                <w:webHidden/>
              </w:rPr>
              <w:instrText xml:space="preserve"> PAGEREF _Toc375124050 \h </w:instrText>
            </w:r>
            <w:r w:rsidRPr="00532A69">
              <w:rPr>
                <w:noProof/>
                <w:webHidden/>
              </w:rPr>
            </w:r>
            <w:r w:rsidRPr="00532A69">
              <w:rPr>
                <w:noProof/>
                <w:webHidden/>
              </w:rPr>
              <w:fldChar w:fldCharType="separate"/>
            </w:r>
            <w:r w:rsidR="00690C14">
              <w:rPr>
                <w:noProof/>
                <w:webHidden/>
              </w:rPr>
              <w:t>4</w:t>
            </w:r>
            <w:r w:rsidRPr="00532A69">
              <w:rPr>
                <w:noProof/>
                <w:webHidden/>
              </w:rPr>
              <w:fldChar w:fldCharType="end"/>
            </w:r>
          </w:hyperlink>
        </w:p>
        <w:p w:rsidR="00CD2B3F" w:rsidRPr="00532A69" w:rsidRDefault="00344163">
          <w:pPr>
            <w:pStyle w:val="TM2"/>
            <w:tabs>
              <w:tab w:val="right" w:leader="dot" w:pos="9062"/>
            </w:tabs>
            <w:rPr>
              <w:noProof/>
            </w:rPr>
          </w:pPr>
          <w:hyperlink w:anchor="_Toc375124051" w:history="1">
            <w:r w:rsidR="00CD2B3F" w:rsidRPr="00532A69">
              <w:rPr>
                <w:rStyle w:val="Lienhypertexte"/>
                <w:noProof/>
              </w:rPr>
              <w:t>Importations</w:t>
            </w:r>
            <w:r w:rsidR="00CD2B3F" w:rsidRPr="00532A69">
              <w:rPr>
                <w:noProof/>
                <w:webHidden/>
              </w:rPr>
              <w:tab/>
            </w:r>
            <w:r w:rsidRPr="00532A69">
              <w:rPr>
                <w:noProof/>
                <w:webHidden/>
              </w:rPr>
              <w:fldChar w:fldCharType="begin"/>
            </w:r>
            <w:r w:rsidR="00CD2B3F" w:rsidRPr="00532A69">
              <w:rPr>
                <w:noProof/>
                <w:webHidden/>
              </w:rPr>
              <w:instrText xml:space="preserve"> PAGEREF _Toc375124051 \h </w:instrText>
            </w:r>
            <w:r w:rsidRPr="00532A69">
              <w:rPr>
                <w:noProof/>
                <w:webHidden/>
              </w:rPr>
            </w:r>
            <w:r w:rsidRPr="00532A69">
              <w:rPr>
                <w:noProof/>
                <w:webHidden/>
              </w:rPr>
              <w:fldChar w:fldCharType="separate"/>
            </w:r>
            <w:r w:rsidR="00690C14">
              <w:rPr>
                <w:noProof/>
                <w:webHidden/>
              </w:rPr>
              <w:t>4</w:t>
            </w:r>
            <w:r w:rsidRPr="00532A69">
              <w:rPr>
                <w:noProof/>
                <w:webHidden/>
              </w:rPr>
              <w:fldChar w:fldCharType="end"/>
            </w:r>
          </w:hyperlink>
        </w:p>
        <w:p w:rsidR="00CD2B3F" w:rsidRPr="00CD2B3F" w:rsidRDefault="00344163">
          <w:pPr>
            <w:pStyle w:val="TM1"/>
            <w:tabs>
              <w:tab w:val="right" w:leader="dot" w:pos="9062"/>
            </w:tabs>
            <w:rPr>
              <w:b/>
              <w:noProof/>
            </w:rPr>
          </w:pPr>
          <w:hyperlink w:anchor="_Toc375124052" w:history="1">
            <w:r w:rsidR="00CD2B3F" w:rsidRPr="00CD2B3F">
              <w:rPr>
                <w:rStyle w:val="Lienhypertexte"/>
                <w:b/>
                <w:noProof/>
                <w:lang w:val="fr-BE"/>
              </w:rPr>
              <w:t>VII. TAUX DE CHANGE</w:t>
            </w:r>
            <w:r w:rsidR="00CD2B3F" w:rsidRPr="00CD2B3F">
              <w:rPr>
                <w:b/>
                <w:noProof/>
                <w:webHidden/>
              </w:rPr>
              <w:tab/>
            </w:r>
            <w:r w:rsidRPr="00CD2B3F">
              <w:rPr>
                <w:b/>
                <w:noProof/>
                <w:webHidden/>
              </w:rPr>
              <w:fldChar w:fldCharType="begin"/>
            </w:r>
            <w:r w:rsidR="00CD2B3F" w:rsidRPr="00CD2B3F">
              <w:rPr>
                <w:b/>
                <w:noProof/>
                <w:webHidden/>
              </w:rPr>
              <w:instrText xml:space="preserve"> PAGEREF _Toc375124052 \h </w:instrText>
            </w:r>
            <w:r w:rsidRPr="00CD2B3F">
              <w:rPr>
                <w:b/>
                <w:noProof/>
                <w:webHidden/>
              </w:rPr>
            </w:r>
            <w:r w:rsidRPr="00CD2B3F">
              <w:rPr>
                <w:b/>
                <w:noProof/>
                <w:webHidden/>
              </w:rPr>
              <w:fldChar w:fldCharType="separate"/>
            </w:r>
            <w:r w:rsidR="00690C14">
              <w:rPr>
                <w:b/>
                <w:noProof/>
                <w:webHidden/>
              </w:rPr>
              <w:t>5</w:t>
            </w:r>
            <w:r w:rsidRPr="00CD2B3F">
              <w:rPr>
                <w:b/>
                <w:noProof/>
                <w:webHidden/>
              </w:rPr>
              <w:fldChar w:fldCharType="end"/>
            </w:r>
          </w:hyperlink>
        </w:p>
        <w:p w:rsidR="00CD2B3F" w:rsidRPr="00CD2B3F" w:rsidRDefault="00344163">
          <w:pPr>
            <w:pStyle w:val="TM1"/>
            <w:tabs>
              <w:tab w:val="right" w:leader="dot" w:pos="9062"/>
            </w:tabs>
            <w:rPr>
              <w:b/>
              <w:noProof/>
            </w:rPr>
          </w:pPr>
          <w:hyperlink w:anchor="_Toc375124053" w:history="1">
            <w:r w:rsidR="00CD2B3F" w:rsidRPr="00CD2B3F">
              <w:rPr>
                <w:rStyle w:val="Lienhypertexte"/>
                <w:b/>
                <w:noProof/>
                <w:lang w:val="fr-BE"/>
              </w:rPr>
              <w:t>ANNEXE 1 : PRINCIPAUX INDICATEURS MENSUELS</w:t>
            </w:r>
            <w:r w:rsidR="00CD2B3F" w:rsidRPr="00CD2B3F">
              <w:rPr>
                <w:b/>
                <w:noProof/>
                <w:webHidden/>
              </w:rPr>
              <w:tab/>
            </w:r>
            <w:r w:rsidRPr="00CD2B3F">
              <w:rPr>
                <w:b/>
                <w:noProof/>
                <w:webHidden/>
              </w:rPr>
              <w:fldChar w:fldCharType="begin"/>
            </w:r>
            <w:r w:rsidR="00CD2B3F" w:rsidRPr="00CD2B3F">
              <w:rPr>
                <w:b/>
                <w:noProof/>
                <w:webHidden/>
              </w:rPr>
              <w:instrText xml:space="preserve"> PAGEREF _Toc375124053 \h </w:instrText>
            </w:r>
            <w:r w:rsidRPr="00CD2B3F">
              <w:rPr>
                <w:b/>
                <w:noProof/>
                <w:webHidden/>
              </w:rPr>
            </w:r>
            <w:r w:rsidRPr="00CD2B3F">
              <w:rPr>
                <w:b/>
                <w:noProof/>
                <w:webHidden/>
              </w:rPr>
              <w:fldChar w:fldCharType="separate"/>
            </w:r>
            <w:r w:rsidR="00690C14">
              <w:rPr>
                <w:b/>
                <w:noProof/>
                <w:webHidden/>
              </w:rPr>
              <w:t>6</w:t>
            </w:r>
            <w:r w:rsidRPr="00CD2B3F">
              <w:rPr>
                <w:b/>
                <w:noProof/>
                <w:webHidden/>
              </w:rPr>
              <w:fldChar w:fldCharType="end"/>
            </w:r>
          </w:hyperlink>
        </w:p>
        <w:p w:rsidR="00CD2B3F" w:rsidRDefault="00344163">
          <w:pPr>
            <w:pStyle w:val="TM1"/>
            <w:tabs>
              <w:tab w:val="right" w:leader="dot" w:pos="9062"/>
            </w:tabs>
            <w:rPr>
              <w:noProof/>
            </w:rPr>
          </w:pPr>
          <w:hyperlink w:anchor="_Toc375124054" w:history="1">
            <w:r w:rsidR="00CD2B3F" w:rsidRPr="00CD2B3F">
              <w:rPr>
                <w:rStyle w:val="Lienhypertexte"/>
                <w:b/>
                <w:noProof/>
              </w:rPr>
              <w:t>ANNEXE 2 : PRINCIPAUX INDICATEURS ANNUELS</w:t>
            </w:r>
            <w:r w:rsidR="00CD2B3F" w:rsidRPr="00CD2B3F">
              <w:rPr>
                <w:b/>
                <w:noProof/>
                <w:webHidden/>
              </w:rPr>
              <w:tab/>
            </w:r>
            <w:r w:rsidRPr="00CD2B3F">
              <w:rPr>
                <w:b/>
                <w:noProof/>
                <w:webHidden/>
              </w:rPr>
              <w:fldChar w:fldCharType="begin"/>
            </w:r>
            <w:r w:rsidR="00CD2B3F" w:rsidRPr="00CD2B3F">
              <w:rPr>
                <w:b/>
                <w:noProof/>
                <w:webHidden/>
              </w:rPr>
              <w:instrText xml:space="preserve"> PAGEREF _Toc375124054 \h </w:instrText>
            </w:r>
            <w:r w:rsidRPr="00CD2B3F">
              <w:rPr>
                <w:b/>
                <w:noProof/>
                <w:webHidden/>
              </w:rPr>
            </w:r>
            <w:r w:rsidRPr="00CD2B3F">
              <w:rPr>
                <w:b/>
                <w:noProof/>
                <w:webHidden/>
              </w:rPr>
              <w:fldChar w:fldCharType="separate"/>
            </w:r>
            <w:r w:rsidR="00690C14">
              <w:rPr>
                <w:b/>
                <w:noProof/>
                <w:webHidden/>
              </w:rPr>
              <w:t>7</w:t>
            </w:r>
            <w:r w:rsidRPr="00CD2B3F">
              <w:rPr>
                <w:b/>
                <w:noProof/>
                <w:webHidden/>
              </w:rPr>
              <w:fldChar w:fldCharType="end"/>
            </w:r>
          </w:hyperlink>
        </w:p>
        <w:p w:rsidR="00CD2B3F" w:rsidRDefault="00344163" w:rsidP="00BE6E34">
          <w:pPr>
            <w:rPr>
              <w:rFonts w:ascii="Calibri" w:hAnsi="Calibri"/>
              <w:b/>
              <w:color w:val="0070C0"/>
            </w:rPr>
            <w:sectPr w:rsidR="00CD2B3F" w:rsidSect="00BE6E34">
              <w:headerReference w:type="default" r:id="rId7"/>
              <w:footerReference w:type="default" r:id="rId8"/>
              <w:headerReference w:type="first" r:id="rId9"/>
              <w:pgSz w:w="11906" w:h="16838"/>
              <w:pgMar w:top="1417" w:right="1417" w:bottom="1417" w:left="1417" w:header="708" w:footer="708" w:gutter="0"/>
              <w:pgNumType w:start="1"/>
              <w:cols w:space="708"/>
              <w:titlePg/>
              <w:docGrid w:linePitch="360"/>
            </w:sectPr>
          </w:pPr>
          <w:r>
            <w:fldChar w:fldCharType="end"/>
          </w:r>
        </w:p>
      </w:sdtContent>
    </w:sdt>
    <w:p w:rsidR="00C048DA" w:rsidRDefault="00C048DA" w:rsidP="00DD5F67">
      <w:pPr>
        <w:pStyle w:val="Titre1"/>
        <w:spacing w:after="120"/>
        <w:rPr>
          <w:rFonts w:ascii="Calibri" w:hAnsi="Calibri"/>
          <w:color w:val="0070C0"/>
          <w:sz w:val="24"/>
        </w:rPr>
      </w:pPr>
      <w:bookmarkStart w:id="0" w:name="_Toc375124033"/>
      <w:r w:rsidRPr="00DD5F67">
        <w:rPr>
          <w:rFonts w:ascii="Calibri" w:hAnsi="Calibri"/>
          <w:color w:val="0070C0"/>
          <w:sz w:val="24"/>
        </w:rPr>
        <w:lastRenderedPageBreak/>
        <w:t>I. INTRODUCTION</w:t>
      </w:r>
      <w:bookmarkEnd w:id="0"/>
    </w:p>
    <w:p w:rsidR="00F37F70" w:rsidRDefault="00C048DA" w:rsidP="00DD5F67">
      <w:pPr>
        <w:widowControl w:val="0"/>
        <w:autoSpaceDE w:val="0"/>
        <w:autoSpaceDN w:val="0"/>
        <w:adjustRightInd w:val="0"/>
        <w:spacing w:after="120"/>
        <w:jc w:val="both"/>
        <w:rPr>
          <w:rFonts w:ascii="Calibri" w:hAnsi="Calibri"/>
        </w:rPr>
      </w:pPr>
      <w:r w:rsidRPr="00BE6E34">
        <w:rPr>
          <w:rFonts w:ascii="Calibri" w:hAnsi="Calibri"/>
          <w:sz w:val="24"/>
        </w:rPr>
        <w:t>Le commentaire sur les principaux indicateurs économiques porte sur l’évolution, à fin octobre 2013, de la production industrielle, du café, du thé et la situation des finances publiques en ce qui concerne les recettes, les dépenses et la dette publique extérieure et intérieure. Il aborde aussi l’évolution de la masse monétaire et de ses contreparties, les exportations, les importations, l’indice des prix à la consommation et le taux de change</w:t>
      </w:r>
      <w:r w:rsidRPr="006F79A4">
        <w:rPr>
          <w:rFonts w:ascii="Calibri" w:hAnsi="Calibri"/>
        </w:rPr>
        <w:t>.</w:t>
      </w:r>
      <w:bookmarkStart w:id="1" w:name="_Toc375124034"/>
    </w:p>
    <w:p w:rsidR="00C048DA" w:rsidRPr="00F37F70" w:rsidRDefault="00C048DA" w:rsidP="00DD5F67">
      <w:pPr>
        <w:widowControl w:val="0"/>
        <w:autoSpaceDE w:val="0"/>
        <w:autoSpaceDN w:val="0"/>
        <w:adjustRightInd w:val="0"/>
        <w:spacing w:after="120"/>
        <w:jc w:val="both"/>
        <w:rPr>
          <w:rFonts w:ascii="Calibri" w:hAnsi="Calibri"/>
          <w:b/>
          <w:bCs/>
          <w:color w:val="0070C0"/>
          <w:sz w:val="24"/>
        </w:rPr>
      </w:pPr>
      <w:r w:rsidRPr="00F37F70">
        <w:rPr>
          <w:rFonts w:ascii="Calibri" w:hAnsi="Calibri"/>
          <w:b/>
          <w:bCs/>
          <w:color w:val="0070C0"/>
          <w:sz w:val="24"/>
        </w:rPr>
        <w:t>II. PRODUCTION</w:t>
      </w:r>
      <w:bookmarkEnd w:id="1"/>
      <w:r w:rsidRPr="00F37F70">
        <w:rPr>
          <w:rFonts w:ascii="Calibri" w:hAnsi="Calibri"/>
          <w:b/>
          <w:bCs/>
          <w:color w:val="0070C0"/>
          <w:sz w:val="24"/>
        </w:rPr>
        <w:t xml:space="preserve"> </w:t>
      </w:r>
    </w:p>
    <w:p w:rsidR="00C048DA" w:rsidRPr="00DD5F67" w:rsidRDefault="00C048DA" w:rsidP="00F37F70">
      <w:pPr>
        <w:pStyle w:val="Titre2"/>
        <w:spacing w:after="120"/>
        <w:rPr>
          <w:rFonts w:ascii="Calibri" w:hAnsi="Calibri"/>
          <w:bCs w:val="0"/>
          <w:color w:val="0070C0"/>
          <w:sz w:val="24"/>
        </w:rPr>
      </w:pPr>
      <w:bookmarkStart w:id="2" w:name="_Toc375124035"/>
      <w:r w:rsidRPr="00DD5F67">
        <w:rPr>
          <w:rFonts w:ascii="Calibri" w:hAnsi="Calibri"/>
          <w:bCs w:val="0"/>
          <w:color w:val="0070C0"/>
          <w:sz w:val="24"/>
        </w:rPr>
        <w:t>Indice de la production industrielle</w:t>
      </w:r>
      <w:bookmarkEnd w:id="2"/>
    </w:p>
    <w:p w:rsidR="00C048DA" w:rsidRPr="00BE6E34" w:rsidRDefault="00C048DA" w:rsidP="00C048DA">
      <w:pPr>
        <w:spacing w:after="120"/>
        <w:jc w:val="both"/>
        <w:rPr>
          <w:rFonts w:ascii="Calibri" w:hAnsi="Calibri"/>
          <w:sz w:val="24"/>
        </w:rPr>
      </w:pPr>
      <w:r w:rsidRPr="00BE6E34">
        <w:rPr>
          <w:rFonts w:ascii="Calibri" w:hAnsi="Calibri"/>
          <w:sz w:val="24"/>
        </w:rPr>
        <w:t>D’un mois à l’autre, l’indice de la production industrielle a baissé de 6,9 p.c., revenant de 170,6 à 158,8 en raison principalement de la diminution de la production de boissons de la BRARUDI (-3,8 p.c.), de sucre (-7,7 p.c.) et de cigarettes (-18,7 p.c.).</w:t>
      </w:r>
    </w:p>
    <w:p w:rsidR="00C048DA" w:rsidRPr="00BE6E34" w:rsidRDefault="00C048DA" w:rsidP="00C048DA">
      <w:pPr>
        <w:spacing w:after="120"/>
        <w:jc w:val="both"/>
        <w:rPr>
          <w:rFonts w:ascii="Calibri" w:hAnsi="Calibri" w:cs="Calibri"/>
          <w:sz w:val="24"/>
        </w:rPr>
      </w:pPr>
      <w:r w:rsidRPr="00BE6E34">
        <w:rPr>
          <w:rFonts w:ascii="Calibri" w:hAnsi="Calibri"/>
          <w:sz w:val="24"/>
        </w:rPr>
        <w:t>Par contre, en glissement sur douze mois, l’indice s’est accru de 3,7 p.c. en liaison essentiellement avec l’augmentation de la production de boissons de la BRARUDI (+16,7 p.c.).</w:t>
      </w:r>
    </w:p>
    <w:p w:rsidR="00C048DA" w:rsidRPr="00F37F70" w:rsidRDefault="00C048DA" w:rsidP="00F37F70">
      <w:pPr>
        <w:pStyle w:val="Titre3"/>
        <w:spacing w:after="120"/>
        <w:rPr>
          <w:rFonts w:ascii="Calibri" w:hAnsi="Calibri"/>
          <w:color w:val="0070C0"/>
          <w:sz w:val="24"/>
        </w:rPr>
      </w:pPr>
      <w:bookmarkStart w:id="3" w:name="_Toc375124036"/>
      <w:r w:rsidRPr="00F37F70">
        <w:rPr>
          <w:rFonts w:ascii="Calibri" w:hAnsi="Calibri"/>
          <w:color w:val="0070C0"/>
          <w:sz w:val="24"/>
        </w:rPr>
        <w:t>Café</w:t>
      </w:r>
      <w:bookmarkEnd w:id="3"/>
    </w:p>
    <w:p w:rsidR="00C048DA" w:rsidRPr="00BE6E34" w:rsidRDefault="00C048DA" w:rsidP="00C048DA">
      <w:pPr>
        <w:spacing w:after="120"/>
        <w:jc w:val="both"/>
        <w:rPr>
          <w:rFonts w:ascii="Calibri" w:hAnsi="Calibri"/>
          <w:sz w:val="24"/>
        </w:rPr>
      </w:pPr>
      <w:r w:rsidRPr="00BE6E34">
        <w:rPr>
          <w:rFonts w:ascii="Calibri" w:hAnsi="Calibri"/>
          <w:sz w:val="24"/>
        </w:rPr>
        <w:t xml:space="preserve">A fin octobre 2013, les apports de café Arabica en </w:t>
      </w:r>
      <w:proofErr w:type="spellStart"/>
      <w:r w:rsidRPr="00BE6E34">
        <w:rPr>
          <w:rFonts w:ascii="Calibri" w:hAnsi="Calibri"/>
          <w:sz w:val="24"/>
        </w:rPr>
        <w:t>parche</w:t>
      </w:r>
      <w:proofErr w:type="spellEnd"/>
      <w:r w:rsidRPr="00BE6E34">
        <w:rPr>
          <w:rFonts w:ascii="Calibri" w:hAnsi="Calibri"/>
          <w:sz w:val="24"/>
        </w:rPr>
        <w:t xml:space="preserve"> se sont établis à 9.834 contre 30.585 T à la même période de la campagne précédente, soit une chute de 20.751 T (-67,8 p.c.) liée principalement au phénomène de cyclicité du rendement du caféier.</w:t>
      </w:r>
    </w:p>
    <w:p w:rsidR="00C048DA" w:rsidRPr="00BE6E34" w:rsidRDefault="00C048DA" w:rsidP="00F37F70">
      <w:pPr>
        <w:pStyle w:val="Titre3"/>
        <w:spacing w:after="120"/>
        <w:rPr>
          <w:rFonts w:ascii="Calibri" w:hAnsi="Calibri"/>
          <w:bCs w:val="0"/>
          <w:color w:val="0070C0"/>
          <w:sz w:val="24"/>
        </w:rPr>
      </w:pPr>
      <w:bookmarkStart w:id="4" w:name="_Toc375124037"/>
      <w:r w:rsidRPr="00BE6E34">
        <w:rPr>
          <w:rFonts w:ascii="Calibri" w:hAnsi="Calibri"/>
          <w:bCs w:val="0"/>
          <w:color w:val="0070C0"/>
          <w:sz w:val="24"/>
        </w:rPr>
        <w:lastRenderedPageBreak/>
        <w:t>Thé</w:t>
      </w:r>
      <w:bookmarkEnd w:id="4"/>
    </w:p>
    <w:p w:rsidR="00F37F70" w:rsidRDefault="00C048DA" w:rsidP="00F37F70">
      <w:pPr>
        <w:spacing w:after="120"/>
        <w:jc w:val="both"/>
        <w:rPr>
          <w:rFonts w:ascii="Calibri" w:hAnsi="Calibri"/>
        </w:rPr>
      </w:pPr>
      <w:r w:rsidRPr="00BE6E34">
        <w:rPr>
          <w:rFonts w:ascii="Calibri" w:hAnsi="Calibri"/>
          <w:sz w:val="24"/>
        </w:rPr>
        <w:t xml:space="preserve">La récolte de thé en feuilles vertes du mois d’octobre 2013 s’est fortement améliorée par </w:t>
      </w:r>
      <w:r w:rsidRPr="00FB6D19">
        <w:rPr>
          <w:rFonts w:ascii="Calibri" w:hAnsi="Calibri"/>
        </w:rPr>
        <w:t xml:space="preserve">rapport à celle du mois précédent, passant de </w:t>
      </w:r>
      <w:r>
        <w:rPr>
          <w:rFonts w:ascii="Calibri" w:hAnsi="Calibri"/>
        </w:rPr>
        <w:t>1.022</w:t>
      </w:r>
      <w:r w:rsidRPr="00AE30B0">
        <w:rPr>
          <w:rFonts w:ascii="Calibri" w:hAnsi="Calibri"/>
        </w:rPr>
        <w:t xml:space="preserve"> </w:t>
      </w:r>
      <w:r w:rsidRPr="00FB6D19">
        <w:rPr>
          <w:rFonts w:ascii="Calibri" w:hAnsi="Calibri"/>
        </w:rPr>
        <w:t>à</w:t>
      </w:r>
      <w:r>
        <w:rPr>
          <w:rFonts w:ascii="Calibri" w:hAnsi="Calibri"/>
        </w:rPr>
        <w:t xml:space="preserve"> 3.125</w:t>
      </w:r>
      <w:r w:rsidRPr="00FB6D19">
        <w:rPr>
          <w:rFonts w:ascii="Calibri" w:hAnsi="Calibri"/>
        </w:rPr>
        <w:t xml:space="preserve"> T  sous l’effet d</w:t>
      </w:r>
      <w:r>
        <w:rPr>
          <w:rFonts w:ascii="Calibri" w:hAnsi="Calibri"/>
        </w:rPr>
        <w:t>u début de la saison des pluies</w:t>
      </w:r>
      <w:r w:rsidRPr="00FB6D19">
        <w:rPr>
          <w:rFonts w:ascii="Calibri" w:hAnsi="Calibri"/>
        </w:rPr>
        <w:t>.</w:t>
      </w:r>
      <w:r w:rsidRPr="00AE30B0">
        <w:rPr>
          <w:rFonts w:ascii="Calibri" w:hAnsi="Calibri"/>
        </w:rPr>
        <w:t xml:space="preserve"> </w:t>
      </w:r>
      <w:r>
        <w:rPr>
          <w:rFonts w:ascii="Calibri" w:hAnsi="Calibri"/>
        </w:rPr>
        <w:t>Toutefois,</w:t>
      </w:r>
      <w:r w:rsidRPr="00AE30B0">
        <w:rPr>
          <w:rFonts w:ascii="Calibri" w:hAnsi="Calibri"/>
        </w:rPr>
        <w:t xml:space="preserve"> </w:t>
      </w:r>
      <w:r>
        <w:rPr>
          <w:rFonts w:ascii="Calibri" w:hAnsi="Calibri"/>
        </w:rPr>
        <w:t xml:space="preserve">la </w:t>
      </w:r>
      <w:r w:rsidRPr="00AE30B0">
        <w:rPr>
          <w:rFonts w:ascii="Calibri" w:hAnsi="Calibri"/>
        </w:rPr>
        <w:t xml:space="preserve">production cumulée </w:t>
      </w:r>
      <w:r>
        <w:rPr>
          <w:rFonts w:ascii="Calibri" w:hAnsi="Calibri"/>
        </w:rPr>
        <w:t>à fin octobre 2013 a reculé de 1,2 p.c., revenant de 35.093 à 34.660 T</w:t>
      </w:r>
      <w:r w:rsidRPr="008779F7">
        <w:rPr>
          <w:rFonts w:ascii="Calibri" w:hAnsi="Calibri"/>
        </w:rPr>
        <w:t xml:space="preserve"> </w:t>
      </w:r>
      <w:r>
        <w:rPr>
          <w:rFonts w:ascii="Calibri" w:hAnsi="Calibri"/>
        </w:rPr>
        <w:t>à la même période de 2012.</w:t>
      </w:r>
      <w:bookmarkStart w:id="5" w:name="_Toc375124038"/>
    </w:p>
    <w:p w:rsidR="000440F3" w:rsidRPr="00CD2B3F" w:rsidRDefault="00E91D3C" w:rsidP="00F37F70">
      <w:pPr>
        <w:spacing w:after="120"/>
        <w:jc w:val="both"/>
        <w:rPr>
          <w:b/>
          <w:color w:val="0070C0"/>
          <w:szCs w:val="24"/>
        </w:rPr>
      </w:pPr>
      <w:r w:rsidRPr="00CD2B3F">
        <w:rPr>
          <w:b/>
          <w:color w:val="0070C0"/>
          <w:szCs w:val="24"/>
        </w:rPr>
        <w:t>III. INDICE DES PRIX A LA CONSOMMATION</w:t>
      </w:r>
      <w:bookmarkEnd w:id="5"/>
    </w:p>
    <w:p w:rsidR="00E91D3C" w:rsidRPr="00CE27AB" w:rsidRDefault="00E52954" w:rsidP="00154AB4">
      <w:pPr>
        <w:spacing w:after="120"/>
        <w:jc w:val="both"/>
        <w:rPr>
          <w:sz w:val="24"/>
          <w:szCs w:val="24"/>
        </w:rPr>
      </w:pPr>
      <w:r w:rsidRPr="00CE27AB">
        <w:rPr>
          <w:sz w:val="24"/>
          <w:szCs w:val="24"/>
        </w:rPr>
        <w:t>L’indice généra</w:t>
      </w:r>
      <w:r w:rsidR="001E07FB" w:rsidRPr="00CE27AB">
        <w:rPr>
          <w:sz w:val="24"/>
          <w:szCs w:val="24"/>
        </w:rPr>
        <w:t>l des prix à la consommation d’octo</w:t>
      </w:r>
      <w:r w:rsidRPr="00CE27AB">
        <w:rPr>
          <w:sz w:val="24"/>
          <w:szCs w:val="24"/>
        </w:rPr>
        <w:t>bre 201</w:t>
      </w:r>
      <w:r w:rsidR="000E454E">
        <w:rPr>
          <w:sz w:val="24"/>
          <w:szCs w:val="24"/>
        </w:rPr>
        <w:t>3</w:t>
      </w:r>
      <w:r w:rsidRPr="00CE27AB">
        <w:rPr>
          <w:sz w:val="24"/>
          <w:szCs w:val="24"/>
        </w:rPr>
        <w:t xml:space="preserve"> s’est inscrit en hausse de </w:t>
      </w:r>
      <w:r w:rsidR="00DF2F33" w:rsidRPr="00CE27AB">
        <w:rPr>
          <w:sz w:val="24"/>
          <w:szCs w:val="24"/>
        </w:rPr>
        <w:t>8,6</w:t>
      </w:r>
      <w:r w:rsidRPr="00CE27AB">
        <w:rPr>
          <w:sz w:val="24"/>
          <w:szCs w:val="24"/>
        </w:rPr>
        <w:t xml:space="preserve"> </w:t>
      </w:r>
      <w:r w:rsidR="00E241E9">
        <w:rPr>
          <w:sz w:val="24"/>
          <w:szCs w:val="24"/>
        </w:rPr>
        <w:t xml:space="preserve">contre 15,9 </w:t>
      </w:r>
      <w:r w:rsidRPr="00CE27AB">
        <w:rPr>
          <w:sz w:val="24"/>
          <w:szCs w:val="24"/>
        </w:rPr>
        <w:t xml:space="preserve">p.c., s’établissant à </w:t>
      </w:r>
      <w:r w:rsidR="00E91D3C" w:rsidRPr="00CE27AB">
        <w:rPr>
          <w:sz w:val="24"/>
          <w:szCs w:val="24"/>
        </w:rPr>
        <w:t>1</w:t>
      </w:r>
      <w:r w:rsidR="00F07F1C" w:rsidRPr="00CE27AB">
        <w:rPr>
          <w:sz w:val="24"/>
          <w:szCs w:val="24"/>
        </w:rPr>
        <w:t>.</w:t>
      </w:r>
      <w:r w:rsidR="00DF2F33" w:rsidRPr="00CE27AB">
        <w:rPr>
          <w:sz w:val="24"/>
          <w:szCs w:val="24"/>
        </w:rPr>
        <w:t>255,1</w:t>
      </w:r>
      <w:r w:rsidR="00E91D3C" w:rsidRPr="00CE27AB">
        <w:rPr>
          <w:sz w:val="24"/>
          <w:szCs w:val="24"/>
        </w:rPr>
        <w:t xml:space="preserve">  contre 1</w:t>
      </w:r>
      <w:r w:rsidR="00F07F1C" w:rsidRPr="00CE27AB">
        <w:rPr>
          <w:sz w:val="24"/>
          <w:szCs w:val="24"/>
        </w:rPr>
        <w:t>.</w:t>
      </w:r>
      <w:r w:rsidR="00DF2F33" w:rsidRPr="00CE27AB">
        <w:rPr>
          <w:sz w:val="24"/>
          <w:szCs w:val="24"/>
        </w:rPr>
        <w:t>156,2</w:t>
      </w:r>
      <w:r w:rsidR="00E91D3C" w:rsidRPr="00CE27AB">
        <w:rPr>
          <w:sz w:val="24"/>
          <w:szCs w:val="24"/>
        </w:rPr>
        <w:t xml:space="preserve"> du mois correspondant de l’année </w:t>
      </w:r>
      <w:r w:rsidR="00DF2F33" w:rsidRPr="00CE27AB">
        <w:rPr>
          <w:sz w:val="24"/>
          <w:szCs w:val="24"/>
        </w:rPr>
        <w:t>précédente</w:t>
      </w:r>
      <w:r w:rsidR="00E91D3C" w:rsidRPr="00CE27AB">
        <w:rPr>
          <w:sz w:val="24"/>
          <w:szCs w:val="24"/>
        </w:rPr>
        <w:t xml:space="preserve">. </w:t>
      </w:r>
      <w:r w:rsidR="00E241E9">
        <w:rPr>
          <w:sz w:val="24"/>
          <w:szCs w:val="24"/>
        </w:rPr>
        <w:t>Le ralentissement du rythme de croissance</w:t>
      </w:r>
      <w:r w:rsidR="009B6A55" w:rsidRPr="00CE27AB">
        <w:rPr>
          <w:sz w:val="24"/>
          <w:szCs w:val="24"/>
        </w:rPr>
        <w:t xml:space="preserve"> </w:t>
      </w:r>
      <w:r w:rsidR="00A70EFE" w:rsidRPr="00CE27AB">
        <w:rPr>
          <w:sz w:val="24"/>
          <w:szCs w:val="24"/>
        </w:rPr>
        <w:t xml:space="preserve">de l’indice général des prix </w:t>
      </w:r>
      <w:r w:rsidR="00E241E9">
        <w:rPr>
          <w:sz w:val="24"/>
          <w:szCs w:val="24"/>
        </w:rPr>
        <w:t>a concerné l</w:t>
      </w:r>
      <w:r w:rsidR="00BC5D53" w:rsidRPr="00CE27AB">
        <w:rPr>
          <w:sz w:val="24"/>
          <w:szCs w:val="24"/>
        </w:rPr>
        <w:t>es</w:t>
      </w:r>
      <w:r w:rsidR="00A70EFE" w:rsidRPr="00CE27AB">
        <w:rPr>
          <w:sz w:val="24"/>
          <w:szCs w:val="24"/>
        </w:rPr>
        <w:t xml:space="preserve"> secteur</w:t>
      </w:r>
      <w:r w:rsidR="00BC5D53" w:rsidRPr="00CE27AB">
        <w:rPr>
          <w:sz w:val="24"/>
          <w:szCs w:val="24"/>
        </w:rPr>
        <w:t>s</w:t>
      </w:r>
      <w:r w:rsidR="00A70EFE" w:rsidRPr="00CE27AB">
        <w:rPr>
          <w:sz w:val="24"/>
          <w:szCs w:val="24"/>
        </w:rPr>
        <w:t xml:space="preserve"> </w:t>
      </w:r>
      <w:r w:rsidR="00112D89" w:rsidRPr="00CE27AB">
        <w:rPr>
          <w:sz w:val="24"/>
          <w:szCs w:val="24"/>
        </w:rPr>
        <w:t xml:space="preserve">« Alimentation » (10,2 contre 12,4  p.c.) </w:t>
      </w:r>
      <w:r w:rsidR="001B3373" w:rsidRPr="00CE27AB">
        <w:rPr>
          <w:sz w:val="24"/>
          <w:szCs w:val="24"/>
        </w:rPr>
        <w:t xml:space="preserve">et </w:t>
      </w:r>
      <w:r w:rsidR="00A70EFE" w:rsidRPr="00CE27AB">
        <w:rPr>
          <w:sz w:val="24"/>
          <w:szCs w:val="24"/>
        </w:rPr>
        <w:t>« </w:t>
      </w:r>
      <w:r w:rsidR="004E0422" w:rsidRPr="00CE27AB">
        <w:rPr>
          <w:sz w:val="24"/>
          <w:szCs w:val="24"/>
        </w:rPr>
        <w:t>Hors</w:t>
      </w:r>
      <w:r w:rsidR="00E571A2" w:rsidRPr="00CE27AB">
        <w:rPr>
          <w:sz w:val="24"/>
          <w:szCs w:val="24"/>
        </w:rPr>
        <w:t>-alimen</w:t>
      </w:r>
      <w:r w:rsidR="00BC5D53" w:rsidRPr="00CE27AB">
        <w:rPr>
          <w:sz w:val="24"/>
          <w:szCs w:val="24"/>
        </w:rPr>
        <w:t>tation » (</w:t>
      </w:r>
      <w:r w:rsidR="00112D89" w:rsidRPr="00CE27AB">
        <w:rPr>
          <w:sz w:val="24"/>
          <w:szCs w:val="24"/>
        </w:rPr>
        <w:t xml:space="preserve">6,7 </w:t>
      </w:r>
      <w:r w:rsidR="00BC5D53" w:rsidRPr="00CE27AB">
        <w:rPr>
          <w:sz w:val="24"/>
          <w:szCs w:val="24"/>
        </w:rPr>
        <w:t xml:space="preserve">contre </w:t>
      </w:r>
      <w:r w:rsidR="00112D89" w:rsidRPr="00CE27AB">
        <w:rPr>
          <w:sz w:val="24"/>
          <w:szCs w:val="24"/>
        </w:rPr>
        <w:t>20,2</w:t>
      </w:r>
      <w:r w:rsidR="00BC5D53" w:rsidRPr="00CE27AB">
        <w:rPr>
          <w:sz w:val="24"/>
          <w:szCs w:val="24"/>
        </w:rPr>
        <w:t xml:space="preserve"> p.c</w:t>
      </w:r>
      <w:r w:rsidR="00D06DAB" w:rsidRPr="00CE27AB">
        <w:rPr>
          <w:sz w:val="24"/>
          <w:szCs w:val="24"/>
        </w:rPr>
        <w:t>.</w:t>
      </w:r>
      <w:r w:rsidR="00BC5D53" w:rsidRPr="00CE27AB">
        <w:rPr>
          <w:sz w:val="24"/>
          <w:szCs w:val="24"/>
        </w:rPr>
        <w:t>)</w:t>
      </w:r>
      <w:r w:rsidR="00E571A2" w:rsidRPr="00CE27AB">
        <w:rPr>
          <w:sz w:val="24"/>
          <w:szCs w:val="24"/>
        </w:rPr>
        <w:t>.</w:t>
      </w:r>
    </w:p>
    <w:p w:rsidR="00E571A2" w:rsidRPr="00CE27AB" w:rsidRDefault="00E52954" w:rsidP="00154AB4">
      <w:pPr>
        <w:spacing w:after="120"/>
        <w:jc w:val="both"/>
        <w:rPr>
          <w:sz w:val="24"/>
          <w:szCs w:val="24"/>
        </w:rPr>
      </w:pPr>
      <w:r w:rsidRPr="00CE27AB">
        <w:rPr>
          <w:sz w:val="24"/>
          <w:szCs w:val="24"/>
        </w:rPr>
        <w:t>La</w:t>
      </w:r>
      <w:r w:rsidR="00E571A2" w:rsidRPr="00CE27AB">
        <w:rPr>
          <w:sz w:val="24"/>
          <w:szCs w:val="24"/>
        </w:rPr>
        <w:t xml:space="preserve"> </w:t>
      </w:r>
      <w:r w:rsidRPr="00CE27AB">
        <w:rPr>
          <w:sz w:val="24"/>
          <w:szCs w:val="24"/>
        </w:rPr>
        <w:t>décélération</w:t>
      </w:r>
      <w:r w:rsidR="00190334">
        <w:rPr>
          <w:sz w:val="24"/>
          <w:szCs w:val="24"/>
        </w:rPr>
        <w:t xml:space="preserve"> de l’inflation a</w:t>
      </w:r>
      <w:r w:rsidR="00E571A2" w:rsidRPr="00CE27AB">
        <w:rPr>
          <w:sz w:val="24"/>
          <w:szCs w:val="24"/>
        </w:rPr>
        <w:t>limenta</w:t>
      </w:r>
      <w:r w:rsidR="00824C71">
        <w:rPr>
          <w:sz w:val="24"/>
          <w:szCs w:val="24"/>
        </w:rPr>
        <w:t>ire</w:t>
      </w:r>
      <w:r w:rsidR="00E571A2" w:rsidRPr="00CE27AB">
        <w:rPr>
          <w:sz w:val="24"/>
          <w:szCs w:val="24"/>
        </w:rPr>
        <w:t xml:space="preserve"> est liée à </w:t>
      </w:r>
      <w:r w:rsidR="00A24325">
        <w:rPr>
          <w:sz w:val="24"/>
          <w:szCs w:val="24"/>
        </w:rPr>
        <w:t xml:space="preserve">la hausse des prix </w:t>
      </w:r>
      <w:r w:rsidR="00E571A2" w:rsidRPr="00CE27AB">
        <w:rPr>
          <w:sz w:val="24"/>
          <w:szCs w:val="24"/>
        </w:rPr>
        <w:t>des prod</w:t>
      </w:r>
      <w:r w:rsidR="00376A25" w:rsidRPr="00CE27AB">
        <w:rPr>
          <w:sz w:val="24"/>
          <w:szCs w:val="24"/>
        </w:rPr>
        <w:t>uits alimentaires comme</w:t>
      </w:r>
      <w:r w:rsidR="00190334">
        <w:rPr>
          <w:sz w:val="24"/>
          <w:szCs w:val="24"/>
        </w:rPr>
        <w:t xml:space="preserve"> le haricot sec (16,7 contre 12,1 p.c.), la farine de manioc (15,7 contre 10,9 p.c.), le sucre cristallisé (17,5 contre -16,6 p.c.), le pain (33,4 contre </w:t>
      </w:r>
      <w:r w:rsidR="00E2377E">
        <w:rPr>
          <w:sz w:val="24"/>
          <w:szCs w:val="24"/>
        </w:rPr>
        <w:t xml:space="preserve"> </w:t>
      </w:r>
      <w:r w:rsidR="00190334">
        <w:rPr>
          <w:sz w:val="24"/>
          <w:szCs w:val="24"/>
        </w:rPr>
        <w:t>30,0 p.c.), l’huile de palme (49,2 contre</w:t>
      </w:r>
      <w:r w:rsidR="00E2377E">
        <w:rPr>
          <w:sz w:val="24"/>
          <w:szCs w:val="24"/>
        </w:rPr>
        <w:t xml:space="preserve">     </w:t>
      </w:r>
      <w:r w:rsidR="00190334">
        <w:rPr>
          <w:sz w:val="24"/>
          <w:szCs w:val="24"/>
        </w:rPr>
        <w:t xml:space="preserve"> -7,9 p.c.) et les bananes vertes (14 ,9 contre 0,3 p.c.)</w:t>
      </w:r>
      <w:r w:rsidR="00305CE6">
        <w:rPr>
          <w:sz w:val="24"/>
          <w:szCs w:val="24"/>
        </w:rPr>
        <w:t>,</w:t>
      </w:r>
      <w:r w:rsidR="00C048DA">
        <w:rPr>
          <w:sz w:val="24"/>
          <w:szCs w:val="24"/>
        </w:rPr>
        <w:t xml:space="preserve"> </w:t>
      </w:r>
      <w:r w:rsidR="00D74B97">
        <w:rPr>
          <w:sz w:val="24"/>
          <w:szCs w:val="24"/>
        </w:rPr>
        <w:t xml:space="preserve">partiellement </w:t>
      </w:r>
      <w:r w:rsidR="00190334">
        <w:rPr>
          <w:sz w:val="24"/>
          <w:szCs w:val="24"/>
        </w:rPr>
        <w:t>contrebalancée</w:t>
      </w:r>
      <w:r w:rsidR="00A24325">
        <w:rPr>
          <w:sz w:val="24"/>
          <w:szCs w:val="24"/>
        </w:rPr>
        <w:t xml:space="preserve"> par</w:t>
      </w:r>
      <w:r w:rsidR="002F73CD" w:rsidRPr="00CE27AB">
        <w:rPr>
          <w:sz w:val="24"/>
          <w:szCs w:val="24"/>
        </w:rPr>
        <w:t xml:space="preserve"> </w:t>
      </w:r>
      <w:r w:rsidR="00A24325" w:rsidRPr="00CE27AB">
        <w:rPr>
          <w:sz w:val="24"/>
          <w:szCs w:val="24"/>
        </w:rPr>
        <w:t xml:space="preserve">la baisse des prix </w:t>
      </w:r>
      <w:r w:rsidR="00A24325">
        <w:rPr>
          <w:sz w:val="24"/>
          <w:szCs w:val="24"/>
        </w:rPr>
        <w:t xml:space="preserve">du </w:t>
      </w:r>
      <w:r w:rsidR="002F73CD" w:rsidRPr="00CE27AB">
        <w:rPr>
          <w:sz w:val="24"/>
          <w:szCs w:val="24"/>
        </w:rPr>
        <w:t xml:space="preserve">riz </w:t>
      </w:r>
      <w:r w:rsidR="007F03E6" w:rsidRPr="00CE27AB">
        <w:rPr>
          <w:sz w:val="24"/>
          <w:szCs w:val="24"/>
        </w:rPr>
        <w:t>(-</w:t>
      </w:r>
      <w:r w:rsidR="002F73CD" w:rsidRPr="00CE27AB">
        <w:rPr>
          <w:sz w:val="24"/>
          <w:szCs w:val="24"/>
        </w:rPr>
        <w:t>0,9</w:t>
      </w:r>
      <w:r w:rsidR="00C042B4" w:rsidRPr="00CE27AB">
        <w:rPr>
          <w:sz w:val="24"/>
          <w:szCs w:val="24"/>
        </w:rPr>
        <w:t xml:space="preserve"> </w:t>
      </w:r>
      <w:r w:rsidR="002723E9" w:rsidRPr="00CE27AB">
        <w:rPr>
          <w:sz w:val="24"/>
          <w:szCs w:val="24"/>
        </w:rPr>
        <w:t xml:space="preserve">contre 10,9 </w:t>
      </w:r>
      <w:r w:rsidR="00C042B4" w:rsidRPr="00CE27AB">
        <w:rPr>
          <w:sz w:val="24"/>
          <w:szCs w:val="24"/>
        </w:rPr>
        <w:t>p.c</w:t>
      </w:r>
      <w:r w:rsidR="00521B2D" w:rsidRPr="00CE27AB">
        <w:rPr>
          <w:sz w:val="24"/>
          <w:szCs w:val="24"/>
        </w:rPr>
        <w:t>.</w:t>
      </w:r>
      <w:r w:rsidR="00A24325">
        <w:rPr>
          <w:sz w:val="24"/>
          <w:szCs w:val="24"/>
        </w:rPr>
        <w:t>), d</w:t>
      </w:r>
      <w:r w:rsidR="00C042B4" w:rsidRPr="00CE27AB">
        <w:rPr>
          <w:sz w:val="24"/>
          <w:szCs w:val="24"/>
        </w:rPr>
        <w:t>e</w:t>
      </w:r>
      <w:r w:rsidR="002F73CD" w:rsidRPr="00CE27AB">
        <w:rPr>
          <w:sz w:val="24"/>
          <w:szCs w:val="24"/>
        </w:rPr>
        <w:t xml:space="preserve">s tomates </w:t>
      </w:r>
      <w:r w:rsidR="00E2377E">
        <w:rPr>
          <w:sz w:val="24"/>
          <w:szCs w:val="24"/>
        </w:rPr>
        <w:t xml:space="preserve">      </w:t>
      </w:r>
      <w:r w:rsidR="00C042B4" w:rsidRPr="00CE27AB">
        <w:rPr>
          <w:sz w:val="24"/>
          <w:szCs w:val="24"/>
        </w:rPr>
        <w:t>(-</w:t>
      </w:r>
      <w:r w:rsidR="002F73CD" w:rsidRPr="00CE27AB">
        <w:rPr>
          <w:sz w:val="24"/>
          <w:szCs w:val="24"/>
        </w:rPr>
        <w:t>17,7</w:t>
      </w:r>
      <w:r w:rsidR="002723E9" w:rsidRPr="00CE27AB">
        <w:rPr>
          <w:sz w:val="24"/>
          <w:szCs w:val="24"/>
        </w:rPr>
        <w:t xml:space="preserve"> contre 0,4</w:t>
      </w:r>
      <w:r w:rsidR="00C042B4" w:rsidRPr="00CE27AB">
        <w:rPr>
          <w:sz w:val="24"/>
          <w:szCs w:val="24"/>
        </w:rPr>
        <w:t xml:space="preserve"> p.c</w:t>
      </w:r>
      <w:r w:rsidR="00521B2D" w:rsidRPr="00CE27AB">
        <w:rPr>
          <w:sz w:val="24"/>
          <w:szCs w:val="24"/>
        </w:rPr>
        <w:t>.</w:t>
      </w:r>
      <w:r w:rsidR="00C042B4" w:rsidRPr="00CE27AB">
        <w:rPr>
          <w:sz w:val="24"/>
          <w:szCs w:val="24"/>
        </w:rPr>
        <w:t>),</w:t>
      </w:r>
      <w:r w:rsidR="007F03E6" w:rsidRPr="00CE27AB">
        <w:rPr>
          <w:sz w:val="24"/>
          <w:szCs w:val="24"/>
        </w:rPr>
        <w:t xml:space="preserve"> </w:t>
      </w:r>
      <w:r w:rsidR="00A24325">
        <w:rPr>
          <w:sz w:val="24"/>
          <w:szCs w:val="24"/>
        </w:rPr>
        <w:t>du</w:t>
      </w:r>
      <w:r w:rsidR="002F73CD" w:rsidRPr="00CE27AB">
        <w:rPr>
          <w:sz w:val="24"/>
          <w:szCs w:val="24"/>
        </w:rPr>
        <w:t xml:space="preserve"> lait frais pasteurisé </w:t>
      </w:r>
      <w:r w:rsidR="00C042B4" w:rsidRPr="00CE27AB">
        <w:rPr>
          <w:sz w:val="24"/>
          <w:szCs w:val="24"/>
        </w:rPr>
        <w:t>(-</w:t>
      </w:r>
      <w:r w:rsidR="002F73CD" w:rsidRPr="00CE27AB">
        <w:rPr>
          <w:sz w:val="24"/>
          <w:szCs w:val="24"/>
        </w:rPr>
        <w:t>4,6</w:t>
      </w:r>
      <w:r w:rsidR="002723E9" w:rsidRPr="00CE27AB">
        <w:rPr>
          <w:sz w:val="24"/>
          <w:szCs w:val="24"/>
        </w:rPr>
        <w:t xml:space="preserve"> contre 0,0</w:t>
      </w:r>
      <w:r w:rsidR="002F73CD" w:rsidRPr="00CE27AB">
        <w:rPr>
          <w:sz w:val="24"/>
          <w:szCs w:val="24"/>
        </w:rPr>
        <w:t xml:space="preserve"> </w:t>
      </w:r>
      <w:r w:rsidR="00C042B4" w:rsidRPr="00CE27AB">
        <w:rPr>
          <w:sz w:val="24"/>
          <w:szCs w:val="24"/>
        </w:rPr>
        <w:t>p.c</w:t>
      </w:r>
      <w:r w:rsidR="00521B2D" w:rsidRPr="00CE27AB">
        <w:rPr>
          <w:sz w:val="24"/>
          <w:szCs w:val="24"/>
        </w:rPr>
        <w:t>.</w:t>
      </w:r>
      <w:r w:rsidR="00A24325">
        <w:rPr>
          <w:sz w:val="24"/>
          <w:szCs w:val="24"/>
        </w:rPr>
        <w:t>)</w:t>
      </w:r>
      <w:r w:rsidR="00E241E9">
        <w:rPr>
          <w:sz w:val="24"/>
          <w:szCs w:val="24"/>
        </w:rPr>
        <w:t xml:space="preserve"> et</w:t>
      </w:r>
      <w:r w:rsidR="00A24325">
        <w:rPr>
          <w:sz w:val="24"/>
          <w:szCs w:val="24"/>
        </w:rPr>
        <w:t xml:space="preserve"> du</w:t>
      </w:r>
      <w:r w:rsidR="00C042B4" w:rsidRPr="00CE27AB">
        <w:rPr>
          <w:sz w:val="24"/>
          <w:szCs w:val="24"/>
        </w:rPr>
        <w:t xml:space="preserve"> </w:t>
      </w:r>
      <w:r w:rsidR="002F73CD" w:rsidRPr="00CE27AB">
        <w:rPr>
          <w:sz w:val="24"/>
          <w:szCs w:val="24"/>
        </w:rPr>
        <w:t>manioc frais</w:t>
      </w:r>
      <w:r w:rsidR="00C042B4" w:rsidRPr="00CE27AB">
        <w:rPr>
          <w:sz w:val="24"/>
          <w:szCs w:val="24"/>
        </w:rPr>
        <w:t xml:space="preserve"> (-</w:t>
      </w:r>
      <w:r w:rsidR="002F73CD" w:rsidRPr="00CE27AB">
        <w:rPr>
          <w:sz w:val="24"/>
          <w:szCs w:val="24"/>
        </w:rPr>
        <w:t>30,1</w:t>
      </w:r>
      <w:r w:rsidR="00C042B4" w:rsidRPr="00CE27AB">
        <w:rPr>
          <w:sz w:val="24"/>
          <w:szCs w:val="24"/>
        </w:rPr>
        <w:t xml:space="preserve"> </w:t>
      </w:r>
      <w:r w:rsidR="002723E9" w:rsidRPr="00CE27AB">
        <w:rPr>
          <w:sz w:val="24"/>
          <w:szCs w:val="24"/>
        </w:rPr>
        <w:t xml:space="preserve">contre 7,5 </w:t>
      </w:r>
      <w:r w:rsidR="00521B2D" w:rsidRPr="00CE27AB">
        <w:rPr>
          <w:sz w:val="24"/>
          <w:szCs w:val="24"/>
        </w:rPr>
        <w:t>p.c.</w:t>
      </w:r>
      <w:r w:rsidR="00C042B4" w:rsidRPr="00CE27AB">
        <w:rPr>
          <w:sz w:val="24"/>
          <w:szCs w:val="24"/>
        </w:rPr>
        <w:t>)</w:t>
      </w:r>
      <w:r w:rsidR="00A24325">
        <w:rPr>
          <w:sz w:val="24"/>
          <w:szCs w:val="24"/>
        </w:rPr>
        <w:t>.</w:t>
      </w:r>
    </w:p>
    <w:p w:rsidR="005D7668" w:rsidRPr="00CE27AB" w:rsidRDefault="00D74B97" w:rsidP="00154AB4">
      <w:pPr>
        <w:spacing w:after="120"/>
        <w:jc w:val="both"/>
        <w:rPr>
          <w:sz w:val="24"/>
          <w:szCs w:val="24"/>
        </w:rPr>
      </w:pPr>
      <w:r>
        <w:rPr>
          <w:sz w:val="24"/>
          <w:szCs w:val="24"/>
        </w:rPr>
        <w:t>L’</w:t>
      </w:r>
      <w:r w:rsidR="00824C71">
        <w:rPr>
          <w:sz w:val="24"/>
          <w:szCs w:val="24"/>
        </w:rPr>
        <w:t>inflation hors-alimentaire</w:t>
      </w:r>
      <w:r w:rsidR="00003E1A" w:rsidRPr="00CE27AB">
        <w:rPr>
          <w:sz w:val="24"/>
          <w:szCs w:val="24"/>
        </w:rPr>
        <w:t xml:space="preserve"> a </w:t>
      </w:r>
      <w:r>
        <w:rPr>
          <w:sz w:val="24"/>
          <w:szCs w:val="24"/>
        </w:rPr>
        <w:t>aussi enregistré une décélération pour</w:t>
      </w:r>
      <w:r w:rsidR="00003E1A" w:rsidRPr="00CE27AB">
        <w:rPr>
          <w:sz w:val="24"/>
          <w:szCs w:val="24"/>
        </w:rPr>
        <w:t xml:space="preserve"> les i</w:t>
      </w:r>
      <w:r w:rsidR="00911F09" w:rsidRPr="00CE27AB">
        <w:rPr>
          <w:sz w:val="24"/>
          <w:szCs w:val="24"/>
        </w:rPr>
        <w:t xml:space="preserve">ndices des secteurs </w:t>
      </w:r>
      <w:r w:rsidR="0076291F" w:rsidRPr="00CE27AB">
        <w:rPr>
          <w:sz w:val="24"/>
          <w:szCs w:val="24"/>
        </w:rPr>
        <w:t xml:space="preserve">« Habillement » (6,9 </w:t>
      </w:r>
      <w:r w:rsidR="00824C71">
        <w:rPr>
          <w:sz w:val="24"/>
          <w:szCs w:val="24"/>
        </w:rPr>
        <w:t xml:space="preserve">contre 15,3 </w:t>
      </w:r>
      <w:r w:rsidR="0076291F" w:rsidRPr="00CE27AB">
        <w:rPr>
          <w:sz w:val="24"/>
          <w:szCs w:val="24"/>
        </w:rPr>
        <w:t xml:space="preserve">p.c.), </w:t>
      </w:r>
      <w:r w:rsidR="00AD4A86" w:rsidRPr="00CE27AB">
        <w:rPr>
          <w:sz w:val="24"/>
          <w:szCs w:val="24"/>
        </w:rPr>
        <w:t>« Logement, chauffage et éclairage</w:t>
      </w:r>
      <w:r w:rsidR="00003E1A" w:rsidRPr="00CE27AB">
        <w:rPr>
          <w:sz w:val="24"/>
          <w:szCs w:val="24"/>
        </w:rPr>
        <w:t> » (</w:t>
      </w:r>
      <w:r w:rsidR="0076291F" w:rsidRPr="00CE27AB">
        <w:rPr>
          <w:sz w:val="24"/>
          <w:szCs w:val="24"/>
        </w:rPr>
        <w:t>5,1</w:t>
      </w:r>
      <w:r w:rsidR="00824C71">
        <w:rPr>
          <w:sz w:val="24"/>
          <w:szCs w:val="24"/>
        </w:rPr>
        <w:t xml:space="preserve"> contre 28,3</w:t>
      </w:r>
      <w:r w:rsidR="00003E1A" w:rsidRPr="00CE27AB">
        <w:rPr>
          <w:sz w:val="24"/>
          <w:szCs w:val="24"/>
        </w:rPr>
        <w:t xml:space="preserve"> </w:t>
      </w:r>
      <w:r w:rsidR="00521B2D" w:rsidRPr="00CE27AB">
        <w:rPr>
          <w:sz w:val="24"/>
          <w:szCs w:val="24"/>
        </w:rPr>
        <w:t>p.c.</w:t>
      </w:r>
      <w:r w:rsidR="00003E1A" w:rsidRPr="00CE27AB">
        <w:rPr>
          <w:sz w:val="24"/>
          <w:szCs w:val="24"/>
        </w:rPr>
        <w:t xml:space="preserve">) et </w:t>
      </w:r>
      <w:r w:rsidR="00003E1A" w:rsidRPr="00CE27AB">
        <w:rPr>
          <w:sz w:val="24"/>
          <w:szCs w:val="24"/>
        </w:rPr>
        <w:lastRenderedPageBreak/>
        <w:t>« Autres biens et services » (</w:t>
      </w:r>
      <w:r w:rsidR="0076291F" w:rsidRPr="00CE27AB">
        <w:rPr>
          <w:sz w:val="24"/>
          <w:szCs w:val="24"/>
        </w:rPr>
        <w:t>3,1</w:t>
      </w:r>
      <w:r w:rsidR="00824C71">
        <w:rPr>
          <w:sz w:val="24"/>
          <w:szCs w:val="24"/>
        </w:rPr>
        <w:t xml:space="preserve"> contre 16,2</w:t>
      </w:r>
      <w:r w:rsidR="0076291F" w:rsidRPr="00CE27AB">
        <w:rPr>
          <w:sz w:val="24"/>
          <w:szCs w:val="24"/>
        </w:rPr>
        <w:t xml:space="preserve"> </w:t>
      </w:r>
      <w:r w:rsidR="00521B2D" w:rsidRPr="00CE27AB">
        <w:rPr>
          <w:sz w:val="24"/>
          <w:szCs w:val="24"/>
        </w:rPr>
        <w:t>p.c.</w:t>
      </w:r>
      <w:r w:rsidR="00003E1A" w:rsidRPr="00CE27AB">
        <w:rPr>
          <w:sz w:val="24"/>
          <w:szCs w:val="24"/>
        </w:rPr>
        <w:t xml:space="preserve">). </w:t>
      </w:r>
    </w:p>
    <w:p w:rsidR="00406A1F" w:rsidRPr="00CE27AB" w:rsidRDefault="00E241E9" w:rsidP="00C048DA">
      <w:pPr>
        <w:spacing w:after="120"/>
        <w:jc w:val="both"/>
        <w:rPr>
          <w:sz w:val="24"/>
          <w:szCs w:val="24"/>
        </w:rPr>
      </w:pPr>
      <w:r>
        <w:rPr>
          <w:sz w:val="24"/>
          <w:szCs w:val="24"/>
        </w:rPr>
        <w:t>P</w:t>
      </w:r>
      <w:r w:rsidR="00120E1F" w:rsidRPr="00CE27AB">
        <w:rPr>
          <w:sz w:val="24"/>
          <w:szCs w:val="24"/>
        </w:rPr>
        <w:t xml:space="preserve">ar rapport au </w:t>
      </w:r>
      <w:r w:rsidR="00003E1A" w:rsidRPr="00CE27AB">
        <w:rPr>
          <w:sz w:val="24"/>
          <w:szCs w:val="24"/>
        </w:rPr>
        <w:t xml:space="preserve">mois </w:t>
      </w:r>
      <w:r w:rsidR="0076291F" w:rsidRPr="00CE27AB">
        <w:rPr>
          <w:sz w:val="24"/>
          <w:szCs w:val="24"/>
        </w:rPr>
        <w:t>précédent</w:t>
      </w:r>
      <w:r w:rsidR="00003E1A" w:rsidRPr="00CE27AB">
        <w:rPr>
          <w:sz w:val="24"/>
          <w:szCs w:val="24"/>
        </w:rPr>
        <w:t>, le niveau général des pri</w:t>
      </w:r>
      <w:r w:rsidR="009C6C70" w:rsidRPr="00CE27AB">
        <w:rPr>
          <w:sz w:val="24"/>
          <w:szCs w:val="24"/>
        </w:rPr>
        <w:t>x</w:t>
      </w:r>
      <w:r w:rsidR="00003E1A" w:rsidRPr="00CE27AB">
        <w:rPr>
          <w:sz w:val="24"/>
          <w:szCs w:val="24"/>
        </w:rPr>
        <w:t xml:space="preserve"> </w:t>
      </w:r>
      <w:r w:rsidR="00120E1F" w:rsidRPr="00CE27AB">
        <w:rPr>
          <w:sz w:val="24"/>
          <w:szCs w:val="24"/>
        </w:rPr>
        <w:t>a enregistré une</w:t>
      </w:r>
      <w:r w:rsidR="00BC5D53" w:rsidRPr="00CE27AB">
        <w:rPr>
          <w:sz w:val="24"/>
          <w:szCs w:val="24"/>
        </w:rPr>
        <w:t xml:space="preserve"> baisse de </w:t>
      </w:r>
      <w:r w:rsidR="00404F3C" w:rsidRPr="00CE27AB">
        <w:rPr>
          <w:sz w:val="24"/>
          <w:szCs w:val="24"/>
        </w:rPr>
        <w:t>0,1</w:t>
      </w:r>
      <w:r w:rsidR="009C6C70" w:rsidRPr="00CE27AB">
        <w:rPr>
          <w:sz w:val="24"/>
          <w:szCs w:val="24"/>
        </w:rPr>
        <w:t xml:space="preserve"> </w:t>
      </w:r>
      <w:r w:rsidR="00521B2D" w:rsidRPr="00CE27AB">
        <w:rPr>
          <w:sz w:val="24"/>
          <w:szCs w:val="24"/>
        </w:rPr>
        <w:t>p.c.</w:t>
      </w:r>
      <w:r w:rsidR="009C6C70" w:rsidRPr="00CE27AB">
        <w:rPr>
          <w:sz w:val="24"/>
          <w:szCs w:val="24"/>
        </w:rPr>
        <w:t xml:space="preserve"> en rapport </w:t>
      </w:r>
      <w:r>
        <w:rPr>
          <w:sz w:val="24"/>
          <w:szCs w:val="24"/>
        </w:rPr>
        <w:t>avec la dé</w:t>
      </w:r>
      <w:r w:rsidRPr="00CE27AB">
        <w:rPr>
          <w:sz w:val="24"/>
          <w:szCs w:val="24"/>
        </w:rPr>
        <w:t>flation</w:t>
      </w:r>
      <w:r w:rsidR="000A6F86" w:rsidRPr="00CE27AB">
        <w:rPr>
          <w:sz w:val="24"/>
          <w:szCs w:val="24"/>
        </w:rPr>
        <w:t xml:space="preserve"> du secteur « Alimentation » (-0,4 contre 0,9 p.c.), l’indice «Hors alimentation » ayant décéléré (0,3 contre 0,5 p.c.).</w:t>
      </w:r>
    </w:p>
    <w:p w:rsidR="008906D5" w:rsidRPr="00154AB4" w:rsidRDefault="003F3BDA" w:rsidP="00964F5B">
      <w:pPr>
        <w:jc w:val="both"/>
        <w:rPr>
          <w:color w:val="0070C0"/>
          <w:sz w:val="24"/>
          <w:szCs w:val="24"/>
        </w:rPr>
      </w:pPr>
      <w:r w:rsidRPr="00154AB4">
        <w:rPr>
          <w:b/>
          <w:color w:val="0070C0"/>
          <w:sz w:val="24"/>
          <w:szCs w:val="24"/>
        </w:rPr>
        <w:t>INDICE DES PRIX A LA CONSOMMATION</w:t>
      </w:r>
    </w:p>
    <w:bookmarkStart w:id="6" w:name="_MON_1447757995"/>
    <w:bookmarkEnd w:id="6"/>
    <w:p w:rsidR="00F37F70" w:rsidRDefault="00964F5B" w:rsidP="00F37F70">
      <w:pPr>
        <w:jc w:val="both"/>
        <w:rPr>
          <w:sz w:val="24"/>
          <w:szCs w:val="24"/>
        </w:rPr>
      </w:pPr>
      <w:r w:rsidRPr="00CE27AB">
        <w:rPr>
          <w:sz w:val="24"/>
          <w:szCs w:val="24"/>
        </w:rPr>
        <w:object w:dxaOrig="10389" w:dyaOrig="3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83.75pt" o:ole="">
            <v:imagedata r:id="rId10" o:title=""/>
          </v:shape>
          <o:OLEObject Type="Embed" ProgID="Excel.Sheet.8" ShapeID="_x0000_i1025" DrawAspect="Content" ObjectID="_1449907927" r:id="rId11"/>
        </w:object>
      </w:r>
      <w:bookmarkStart w:id="7" w:name="_Toc375124039"/>
    </w:p>
    <w:p w:rsidR="00960578" w:rsidRPr="00F37F70" w:rsidRDefault="00960578" w:rsidP="00F37F70">
      <w:pPr>
        <w:jc w:val="both"/>
        <w:rPr>
          <w:b/>
          <w:color w:val="0070C0"/>
          <w:sz w:val="24"/>
          <w:szCs w:val="24"/>
        </w:rPr>
      </w:pPr>
      <w:r w:rsidRPr="00F37F70">
        <w:rPr>
          <w:b/>
          <w:color w:val="0070C0"/>
          <w:sz w:val="24"/>
          <w:szCs w:val="24"/>
        </w:rPr>
        <w:t>IV. FINANCES PUBLIQUES</w:t>
      </w:r>
      <w:bookmarkEnd w:id="7"/>
    </w:p>
    <w:p w:rsidR="00960578" w:rsidRPr="00154AB4" w:rsidRDefault="00960578" w:rsidP="00F37F70">
      <w:pPr>
        <w:pStyle w:val="Titre2"/>
        <w:spacing w:after="120"/>
        <w:rPr>
          <w:b w:val="0"/>
          <w:color w:val="0070C0"/>
          <w:sz w:val="24"/>
          <w:szCs w:val="24"/>
        </w:rPr>
      </w:pPr>
      <w:bookmarkStart w:id="8" w:name="_Toc375124040"/>
      <w:r w:rsidRPr="00F37F70">
        <w:rPr>
          <w:rFonts w:asciiTheme="minorHAnsi" w:hAnsiTheme="minorHAnsi"/>
          <w:color w:val="0070C0"/>
          <w:sz w:val="24"/>
          <w:szCs w:val="24"/>
        </w:rPr>
        <w:t>Recettes</w:t>
      </w:r>
      <w:bookmarkEnd w:id="8"/>
      <w:r w:rsidRPr="00154AB4">
        <w:rPr>
          <w:color w:val="0070C0"/>
          <w:sz w:val="24"/>
          <w:szCs w:val="24"/>
        </w:rPr>
        <w:t xml:space="preserve"> </w:t>
      </w:r>
    </w:p>
    <w:p w:rsidR="00960578" w:rsidRPr="00D93819" w:rsidRDefault="00960578" w:rsidP="00154AB4">
      <w:pPr>
        <w:spacing w:after="120"/>
        <w:jc w:val="both"/>
        <w:rPr>
          <w:sz w:val="24"/>
          <w:szCs w:val="24"/>
        </w:rPr>
      </w:pPr>
      <w:r>
        <w:rPr>
          <w:sz w:val="24"/>
          <w:szCs w:val="24"/>
        </w:rPr>
        <w:t>A fin octobre 2013, l</w:t>
      </w:r>
      <w:r w:rsidRPr="002404D0">
        <w:rPr>
          <w:sz w:val="24"/>
          <w:szCs w:val="24"/>
        </w:rPr>
        <w:t>es recettes</w:t>
      </w:r>
      <w:r>
        <w:rPr>
          <w:sz w:val="24"/>
          <w:szCs w:val="24"/>
        </w:rPr>
        <w:t xml:space="preserve"> cumulées</w:t>
      </w:r>
      <w:r w:rsidRPr="002404D0">
        <w:rPr>
          <w:sz w:val="24"/>
          <w:szCs w:val="24"/>
        </w:rPr>
        <w:t xml:space="preserve"> du budget consolidé de l’Etat </w:t>
      </w:r>
      <w:r>
        <w:rPr>
          <w:sz w:val="24"/>
          <w:szCs w:val="24"/>
        </w:rPr>
        <w:t xml:space="preserve">se sont établies à 491.590,9 </w:t>
      </w:r>
      <w:r w:rsidRPr="002404D0">
        <w:rPr>
          <w:sz w:val="24"/>
          <w:szCs w:val="24"/>
        </w:rPr>
        <w:t xml:space="preserve">contre </w:t>
      </w:r>
      <w:r>
        <w:rPr>
          <w:sz w:val="24"/>
          <w:szCs w:val="24"/>
        </w:rPr>
        <w:t xml:space="preserve">467.965,8 </w:t>
      </w:r>
      <w:r w:rsidRPr="002404D0">
        <w:rPr>
          <w:sz w:val="24"/>
          <w:szCs w:val="24"/>
        </w:rPr>
        <w:t xml:space="preserve">MBIF </w:t>
      </w:r>
      <w:r>
        <w:rPr>
          <w:sz w:val="24"/>
          <w:szCs w:val="24"/>
        </w:rPr>
        <w:t xml:space="preserve">à la période correspondante </w:t>
      </w:r>
      <w:r w:rsidRPr="002404D0">
        <w:rPr>
          <w:sz w:val="24"/>
          <w:szCs w:val="24"/>
        </w:rPr>
        <w:t xml:space="preserve">de l’année précédente, soit une </w:t>
      </w:r>
      <w:r>
        <w:rPr>
          <w:sz w:val="24"/>
          <w:szCs w:val="24"/>
        </w:rPr>
        <w:t xml:space="preserve">augmentation </w:t>
      </w:r>
      <w:r w:rsidRPr="002404D0">
        <w:rPr>
          <w:sz w:val="24"/>
          <w:szCs w:val="24"/>
        </w:rPr>
        <w:t xml:space="preserve">de </w:t>
      </w:r>
      <w:r>
        <w:rPr>
          <w:sz w:val="24"/>
          <w:szCs w:val="24"/>
        </w:rPr>
        <w:t>23</w:t>
      </w:r>
      <w:r w:rsidRPr="002404D0">
        <w:rPr>
          <w:sz w:val="24"/>
          <w:szCs w:val="24"/>
        </w:rPr>
        <w:t>.</w:t>
      </w:r>
      <w:r>
        <w:rPr>
          <w:sz w:val="24"/>
          <w:szCs w:val="24"/>
        </w:rPr>
        <w:t>625</w:t>
      </w:r>
      <w:r w:rsidRPr="002404D0">
        <w:rPr>
          <w:sz w:val="24"/>
          <w:szCs w:val="24"/>
        </w:rPr>
        <w:t>,</w:t>
      </w:r>
      <w:r>
        <w:rPr>
          <w:sz w:val="24"/>
          <w:szCs w:val="24"/>
        </w:rPr>
        <w:t xml:space="preserve">1 </w:t>
      </w:r>
      <w:r w:rsidRPr="002404D0">
        <w:rPr>
          <w:sz w:val="24"/>
          <w:szCs w:val="24"/>
        </w:rPr>
        <w:t xml:space="preserve">MBIF, ou </w:t>
      </w:r>
      <w:r>
        <w:rPr>
          <w:sz w:val="24"/>
          <w:szCs w:val="24"/>
        </w:rPr>
        <w:t>5,0</w:t>
      </w:r>
      <w:r w:rsidRPr="002404D0">
        <w:rPr>
          <w:sz w:val="24"/>
          <w:szCs w:val="24"/>
        </w:rPr>
        <w:t xml:space="preserve"> </w:t>
      </w:r>
      <w:r>
        <w:rPr>
          <w:sz w:val="24"/>
          <w:szCs w:val="24"/>
        </w:rPr>
        <w:t>p.c. Cette hausse est liée à l’accroissement  des recettes</w:t>
      </w:r>
      <w:r w:rsidRPr="00422C7F">
        <w:rPr>
          <w:sz w:val="24"/>
          <w:szCs w:val="24"/>
        </w:rPr>
        <w:t xml:space="preserve"> </w:t>
      </w:r>
      <w:r>
        <w:rPr>
          <w:sz w:val="24"/>
          <w:szCs w:val="24"/>
        </w:rPr>
        <w:t>fiscales (+17.379,9 MBIF)</w:t>
      </w:r>
      <w:r w:rsidRPr="00F82977">
        <w:rPr>
          <w:sz w:val="24"/>
          <w:szCs w:val="24"/>
        </w:rPr>
        <w:t xml:space="preserve"> </w:t>
      </w:r>
      <w:r>
        <w:rPr>
          <w:sz w:val="24"/>
          <w:szCs w:val="24"/>
        </w:rPr>
        <w:t>et exceptionnelles (</w:t>
      </w:r>
      <w:r w:rsidR="00400F32">
        <w:rPr>
          <w:sz w:val="24"/>
          <w:szCs w:val="24"/>
        </w:rPr>
        <w:t>+</w:t>
      </w:r>
      <w:r>
        <w:rPr>
          <w:sz w:val="24"/>
          <w:szCs w:val="24"/>
        </w:rPr>
        <w:t>8.161,5 MBIF), les</w:t>
      </w:r>
      <w:r w:rsidRPr="00A81449">
        <w:rPr>
          <w:sz w:val="24"/>
          <w:szCs w:val="24"/>
        </w:rPr>
        <w:t xml:space="preserve"> </w:t>
      </w:r>
      <w:r>
        <w:rPr>
          <w:sz w:val="24"/>
          <w:szCs w:val="24"/>
        </w:rPr>
        <w:t xml:space="preserve">recettes non fiscales ayant diminué  de 1.916,2 MBIF. </w:t>
      </w:r>
    </w:p>
    <w:p w:rsidR="00960578" w:rsidRDefault="00960578" w:rsidP="00154AB4">
      <w:pPr>
        <w:spacing w:after="120"/>
        <w:jc w:val="both"/>
        <w:rPr>
          <w:sz w:val="24"/>
          <w:szCs w:val="24"/>
        </w:rPr>
      </w:pPr>
      <w:r>
        <w:rPr>
          <w:sz w:val="24"/>
          <w:szCs w:val="24"/>
        </w:rPr>
        <w:t>Comparées à celles du mois précédent</w:t>
      </w:r>
      <w:r w:rsidRPr="002404D0">
        <w:rPr>
          <w:sz w:val="24"/>
          <w:szCs w:val="24"/>
        </w:rPr>
        <w:t>, les recettes d</w:t>
      </w:r>
      <w:r>
        <w:rPr>
          <w:sz w:val="24"/>
          <w:szCs w:val="24"/>
        </w:rPr>
        <w:t xml:space="preserve">’octobre </w:t>
      </w:r>
      <w:r w:rsidRPr="002404D0">
        <w:rPr>
          <w:sz w:val="24"/>
          <w:szCs w:val="24"/>
        </w:rPr>
        <w:t>201</w:t>
      </w:r>
      <w:r>
        <w:rPr>
          <w:sz w:val="24"/>
          <w:szCs w:val="24"/>
        </w:rPr>
        <w:t>3</w:t>
      </w:r>
      <w:r w:rsidRPr="002404D0">
        <w:rPr>
          <w:sz w:val="24"/>
          <w:szCs w:val="24"/>
        </w:rPr>
        <w:t xml:space="preserve"> ont </w:t>
      </w:r>
      <w:r>
        <w:rPr>
          <w:sz w:val="24"/>
          <w:szCs w:val="24"/>
        </w:rPr>
        <w:t xml:space="preserve">baissé </w:t>
      </w:r>
      <w:r w:rsidRPr="002404D0">
        <w:rPr>
          <w:sz w:val="24"/>
          <w:szCs w:val="24"/>
        </w:rPr>
        <w:t xml:space="preserve">de </w:t>
      </w:r>
      <w:r>
        <w:rPr>
          <w:sz w:val="24"/>
          <w:szCs w:val="24"/>
        </w:rPr>
        <w:t xml:space="preserve">15.941,4 </w:t>
      </w:r>
      <w:r w:rsidRPr="002404D0">
        <w:rPr>
          <w:sz w:val="24"/>
          <w:szCs w:val="24"/>
        </w:rPr>
        <w:t>MBIF</w:t>
      </w:r>
      <w:r>
        <w:rPr>
          <w:sz w:val="24"/>
          <w:szCs w:val="24"/>
        </w:rPr>
        <w:t>, revenant de 58.150,9 à 42.209,5 MBIF suite principalement</w:t>
      </w:r>
      <w:r w:rsidRPr="00975BEA">
        <w:rPr>
          <w:sz w:val="24"/>
          <w:szCs w:val="24"/>
        </w:rPr>
        <w:t xml:space="preserve"> </w:t>
      </w:r>
      <w:r>
        <w:rPr>
          <w:sz w:val="24"/>
          <w:szCs w:val="24"/>
        </w:rPr>
        <w:t xml:space="preserve">à la </w:t>
      </w:r>
      <w:r>
        <w:rPr>
          <w:sz w:val="24"/>
          <w:szCs w:val="24"/>
        </w:rPr>
        <w:lastRenderedPageBreak/>
        <w:t>diminution des recettes</w:t>
      </w:r>
      <w:r w:rsidRPr="006F13A8">
        <w:rPr>
          <w:sz w:val="24"/>
          <w:szCs w:val="24"/>
        </w:rPr>
        <w:t xml:space="preserve"> </w:t>
      </w:r>
      <w:r>
        <w:rPr>
          <w:sz w:val="24"/>
          <w:szCs w:val="24"/>
        </w:rPr>
        <w:t>fiscales (-16.588,2 MBIF) et  exceptionnelles (-212,1 MBIF) légèrement atténuée par l</w:t>
      </w:r>
      <w:r w:rsidR="00400F32">
        <w:rPr>
          <w:sz w:val="24"/>
          <w:szCs w:val="24"/>
        </w:rPr>
        <w:t>’augmentation</w:t>
      </w:r>
      <w:r>
        <w:rPr>
          <w:sz w:val="24"/>
          <w:szCs w:val="24"/>
        </w:rPr>
        <w:t xml:space="preserve"> des recettes</w:t>
      </w:r>
      <w:r w:rsidRPr="00096249">
        <w:rPr>
          <w:sz w:val="24"/>
          <w:szCs w:val="24"/>
        </w:rPr>
        <w:t xml:space="preserve"> </w:t>
      </w:r>
      <w:r>
        <w:rPr>
          <w:sz w:val="24"/>
          <w:szCs w:val="24"/>
        </w:rPr>
        <w:t>non fiscales (+858,9 MBIF).</w:t>
      </w:r>
    </w:p>
    <w:p w:rsidR="00960578" w:rsidRPr="00154AB4" w:rsidRDefault="00960578" w:rsidP="00F37F70">
      <w:pPr>
        <w:pStyle w:val="Titre2"/>
        <w:spacing w:after="120"/>
        <w:rPr>
          <w:b w:val="0"/>
          <w:color w:val="0070C0"/>
          <w:sz w:val="24"/>
          <w:szCs w:val="24"/>
        </w:rPr>
      </w:pPr>
      <w:bookmarkStart w:id="9" w:name="_Toc375124041"/>
      <w:r w:rsidRPr="00154AB4">
        <w:rPr>
          <w:color w:val="0070C0"/>
          <w:sz w:val="24"/>
          <w:szCs w:val="24"/>
        </w:rPr>
        <w:t>Dépenses</w:t>
      </w:r>
      <w:bookmarkEnd w:id="9"/>
    </w:p>
    <w:p w:rsidR="00960578" w:rsidRPr="00E3744A" w:rsidRDefault="00960578" w:rsidP="00154AB4">
      <w:pPr>
        <w:spacing w:after="120"/>
        <w:jc w:val="both"/>
        <w:rPr>
          <w:sz w:val="24"/>
          <w:szCs w:val="24"/>
        </w:rPr>
      </w:pPr>
      <w:r>
        <w:rPr>
          <w:sz w:val="24"/>
          <w:szCs w:val="24"/>
        </w:rPr>
        <w:t>A fin octobre 2013, les dépenses de personnel cumulées se sont fixées à 243</w:t>
      </w:r>
      <w:r w:rsidRPr="00E3744A">
        <w:rPr>
          <w:sz w:val="24"/>
          <w:szCs w:val="24"/>
        </w:rPr>
        <w:t>.</w:t>
      </w:r>
      <w:r>
        <w:rPr>
          <w:sz w:val="24"/>
          <w:szCs w:val="24"/>
        </w:rPr>
        <w:t>666</w:t>
      </w:r>
      <w:r w:rsidRPr="00E3744A">
        <w:rPr>
          <w:sz w:val="24"/>
          <w:szCs w:val="24"/>
        </w:rPr>
        <w:t>,</w:t>
      </w:r>
      <w:r>
        <w:rPr>
          <w:sz w:val="24"/>
          <w:szCs w:val="24"/>
        </w:rPr>
        <w:t>3 contre 230</w:t>
      </w:r>
      <w:r w:rsidRPr="00E3744A">
        <w:rPr>
          <w:sz w:val="24"/>
          <w:szCs w:val="24"/>
        </w:rPr>
        <w:t>.</w:t>
      </w:r>
      <w:r>
        <w:rPr>
          <w:sz w:val="24"/>
          <w:szCs w:val="24"/>
        </w:rPr>
        <w:t>250</w:t>
      </w:r>
      <w:r w:rsidRPr="00E3744A">
        <w:rPr>
          <w:sz w:val="24"/>
          <w:szCs w:val="24"/>
        </w:rPr>
        <w:t>,</w:t>
      </w:r>
      <w:r>
        <w:rPr>
          <w:sz w:val="24"/>
          <w:szCs w:val="24"/>
        </w:rPr>
        <w:t xml:space="preserve">3 </w:t>
      </w:r>
      <w:r w:rsidRPr="00E3744A">
        <w:rPr>
          <w:sz w:val="24"/>
          <w:szCs w:val="24"/>
        </w:rPr>
        <w:t>MBIF</w:t>
      </w:r>
      <w:r>
        <w:rPr>
          <w:sz w:val="24"/>
          <w:szCs w:val="24"/>
        </w:rPr>
        <w:t xml:space="preserve"> à la fin de la période correspondante de 2012, soit une hausse de 13.416,0 MBIF en liaison avec l’augmentation des dépenses de personnel dans le budget de l’Etat de 2013.</w:t>
      </w:r>
      <w:r w:rsidRPr="00E3744A">
        <w:rPr>
          <w:sz w:val="24"/>
          <w:szCs w:val="24"/>
        </w:rPr>
        <w:t xml:space="preserve"> </w:t>
      </w:r>
    </w:p>
    <w:p w:rsidR="00960578" w:rsidRPr="00F37F70" w:rsidRDefault="00960578" w:rsidP="00F37F70">
      <w:pPr>
        <w:pStyle w:val="Titre2"/>
        <w:spacing w:after="120"/>
        <w:rPr>
          <w:rFonts w:asciiTheme="minorHAnsi" w:hAnsiTheme="minorHAnsi"/>
          <w:color w:val="0070C0"/>
          <w:sz w:val="24"/>
          <w:szCs w:val="24"/>
        </w:rPr>
      </w:pPr>
      <w:bookmarkStart w:id="10" w:name="_Toc375124042"/>
      <w:r w:rsidRPr="00F37F70">
        <w:rPr>
          <w:rFonts w:asciiTheme="minorHAnsi" w:hAnsiTheme="minorHAnsi"/>
          <w:color w:val="0070C0"/>
          <w:sz w:val="24"/>
          <w:szCs w:val="24"/>
        </w:rPr>
        <w:t>Dette publique</w:t>
      </w:r>
      <w:bookmarkEnd w:id="10"/>
    </w:p>
    <w:p w:rsidR="00960578" w:rsidRPr="002404D0" w:rsidRDefault="00960578" w:rsidP="00154AB4">
      <w:pPr>
        <w:spacing w:after="120"/>
        <w:jc w:val="both"/>
        <w:rPr>
          <w:sz w:val="24"/>
          <w:szCs w:val="24"/>
        </w:rPr>
      </w:pPr>
      <w:r>
        <w:rPr>
          <w:sz w:val="24"/>
          <w:szCs w:val="24"/>
        </w:rPr>
        <w:t>Se fixant à 1</w:t>
      </w:r>
      <w:r w:rsidRPr="002404D0">
        <w:rPr>
          <w:sz w:val="24"/>
          <w:szCs w:val="24"/>
        </w:rPr>
        <w:t>.</w:t>
      </w:r>
      <w:r>
        <w:rPr>
          <w:sz w:val="24"/>
          <w:szCs w:val="24"/>
        </w:rPr>
        <w:t>219</w:t>
      </w:r>
      <w:r w:rsidRPr="002404D0">
        <w:rPr>
          <w:sz w:val="24"/>
          <w:szCs w:val="24"/>
        </w:rPr>
        <w:t>.</w:t>
      </w:r>
      <w:r>
        <w:rPr>
          <w:sz w:val="24"/>
          <w:szCs w:val="24"/>
        </w:rPr>
        <w:t>652</w:t>
      </w:r>
      <w:r w:rsidRPr="002404D0">
        <w:rPr>
          <w:sz w:val="24"/>
          <w:szCs w:val="24"/>
        </w:rPr>
        <w:t>,</w:t>
      </w:r>
      <w:r>
        <w:rPr>
          <w:sz w:val="24"/>
          <w:szCs w:val="24"/>
        </w:rPr>
        <w:t xml:space="preserve">7 </w:t>
      </w:r>
      <w:r w:rsidRPr="002404D0">
        <w:rPr>
          <w:sz w:val="24"/>
          <w:szCs w:val="24"/>
        </w:rPr>
        <w:t xml:space="preserve">MBIF </w:t>
      </w:r>
      <w:r>
        <w:rPr>
          <w:sz w:val="24"/>
          <w:szCs w:val="24"/>
        </w:rPr>
        <w:t>à fin</w:t>
      </w:r>
      <w:r w:rsidRPr="002404D0">
        <w:rPr>
          <w:sz w:val="24"/>
          <w:szCs w:val="24"/>
        </w:rPr>
        <w:t xml:space="preserve"> </w:t>
      </w:r>
      <w:r>
        <w:rPr>
          <w:sz w:val="24"/>
          <w:szCs w:val="24"/>
        </w:rPr>
        <w:t>Octobre</w:t>
      </w:r>
      <w:r w:rsidRPr="002404D0">
        <w:rPr>
          <w:sz w:val="24"/>
          <w:szCs w:val="24"/>
        </w:rPr>
        <w:t xml:space="preserve"> 201</w:t>
      </w:r>
      <w:r>
        <w:rPr>
          <w:sz w:val="24"/>
          <w:szCs w:val="24"/>
        </w:rPr>
        <w:t>3</w:t>
      </w:r>
      <w:r w:rsidRPr="002404D0">
        <w:rPr>
          <w:sz w:val="24"/>
          <w:szCs w:val="24"/>
        </w:rPr>
        <w:t xml:space="preserve"> contre</w:t>
      </w:r>
      <w:r>
        <w:rPr>
          <w:sz w:val="24"/>
          <w:szCs w:val="24"/>
        </w:rPr>
        <w:t xml:space="preserve"> 1.104.976,6</w:t>
      </w:r>
      <w:r w:rsidRPr="002404D0">
        <w:rPr>
          <w:sz w:val="24"/>
          <w:szCs w:val="24"/>
        </w:rPr>
        <w:t xml:space="preserve"> MBIF</w:t>
      </w:r>
      <w:r>
        <w:rPr>
          <w:sz w:val="24"/>
          <w:szCs w:val="24"/>
        </w:rPr>
        <w:t xml:space="preserve"> à la même période de l’année précédente, l</w:t>
      </w:r>
      <w:r w:rsidRPr="002404D0">
        <w:rPr>
          <w:sz w:val="24"/>
          <w:szCs w:val="24"/>
        </w:rPr>
        <w:t xml:space="preserve">’encours de la dette publique a progressé de </w:t>
      </w:r>
      <w:r>
        <w:rPr>
          <w:sz w:val="24"/>
          <w:szCs w:val="24"/>
        </w:rPr>
        <w:t>114.676,1</w:t>
      </w:r>
      <w:r w:rsidRPr="002404D0">
        <w:rPr>
          <w:sz w:val="24"/>
          <w:szCs w:val="24"/>
        </w:rPr>
        <w:t xml:space="preserve"> MBIF</w:t>
      </w:r>
      <w:r>
        <w:rPr>
          <w:sz w:val="24"/>
          <w:szCs w:val="24"/>
        </w:rPr>
        <w:t>,</w:t>
      </w:r>
      <w:r w:rsidRPr="002404D0">
        <w:rPr>
          <w:sz w:val="24"/>
          <w:szCs w:val="24"/>
        </w:rPr>
        <w:t xml:space="preserve"> soit </w:t>
      </w:r>
      <w:r>
        <w:rPr>
          <w:sz w:val="24"/>
          <w:szCs w:val="24"/>
        </w:rPr>
        <w:t>10</w:t>
      </w:r>
      <w:r w:rsidRPr="002404D0">
        <w:rPr>
          <w:sz w:val="24"/>
          <w:szCs w:val="24"/>
        </w:rPr>
        <w:t>,</w:t>
      </w:r>
      <w:r>
        <w:rPr>
          <w:sz w:val="24"/>
          <w:szCs w:val="24"/>
        </w:rPr>
        <w:t>4</w:t>
      </w:r>
      <w:r w:rsidRPr="002404D0">
        <w:rPr>
          <w:sz w:val="24"/>
          <w:szCs w:val="24"/>
        </w:rPr>
        <w:t xml:space="preserve"> p.c.</w:t>
      </w:r>
      <w:r>
        <w:rPr>
          <w:sz w:val="24"/>
          <w:szCs w:val="24"/>
        </w:rPr>
        <w:t>,</w:t>
      </w:r>
      <w:r w:rsidRPr="002404D0">
        <w:rPr>
          <w:sz w:val="24"/>
          <w:szCs w:val="24"/>
        </w:rPr>
        <w:t xml:space="preserve"> </w:t>
      </w:r>
      <w:r>
        <w:rPr>
          <w:sz w:val="24"/>
          <w:szCs w:val="24"/>
        </w:rPr>
        <w:t>en raison de l’augmentation de la dette</w:t>
      </w:r>
      <w:r w:rsidRPr="002404D0">
        <w:rPr>
          <w:sz w:val="24"/>
          <w:szCs w:val="24"/>
        </w:rPr>
        <w:t xml:space="preserve"> </w:t>
      </w:r>
      <w:r>
        <w:rPr>
          <w:sz w:val="24"/>
          <w:szCs w:val="24"/>
        </w:rPr>
        <w:t>intérieure (+52.590</w:t>
      </w:r>
      <w:r w:rsidRPr="002404D0">
        <w:rPr>
          <w:sz w:val="24"/>
          <w:szCs w:val="24"/>
        </w:rPr>
        <w:t>,</w:t>
      </w:r>
      <w:r>
        <w:rPr>
          <w:sz w:val="24"/>
          <w:szCs w:val="24"/>
        </w:rPr>
        <w:t>5</w:t>
      </w:r>
      <w:r w:rsidRPr="009747D7">
        <w:rPr>
          <w:sz w:val="24"/>
          <w:szCs w:val="24"/>
        </w:rPr>
        <w:t xml:space="preserve"> </w:t>
      </w:r>
      <w:r w:rsidRPr="002404D0">
        <w:rPr>
          <w:sz w:val="24"/>
          <w:szCs w:val="24"/>
        </w:rPr>
        <w:t>MBIF</w:t>
      </w:r>
      <w:r>
        <w:rPr>
          <w:sz w:val="24"/>
          <w:szCs w:val="24"/>
        </w:rPr>
        <w:t xml:space="preserve">) </w:t>
      </w:r>
      <w:r w:rsidRPr="002404D0">
        <w:rPr>
          <w:sz w:val="24"/>
          <w:szCs w:val="24"/>
        </w:rPr>
        <w:t>et extérieure</w:t>
      </w:r>
      <w:r>
        <w:rPr>
          <w:sz w:val="24"/>
          <w:szCs w:val="24"/>
        </w:rPr>
        <w:t xml:space="preserve"> (+62.085,6 MBIF). </w:t>
      </w:r>
    </w:p>
    <w:p w:rsidR="00960578" w:rsidRPr="002404D0" w:rsidRDefault="00960578" w:rsidP="00154AB4">
      <w:pPr>
        <w:spacing w:after="120"/>
        <w:jc w:val="both"/>
        <w:rPr>
          <w:sz w:val="24"/>
          <w:szCs w:val="24"/>
        </w:rPr>
      </w:pPr>
      <w:r>
        <w:rPr>
          <w:sz w:val="24"/>
          <w:szCs w:val="24"/>
        </w:rPr>
        <w:t xml:space="preserve"> D’un mois à l’autre</w:t>
      </w:r>
      <w:r w:rsidRPr="002404D0">
        <w:rPr>
          <w:sz w:val="24"/>
          <w:szCs w:val="24"/>
        </w:rPr>
        <w:t xml:space="preserve">, l’encours de la dette publique </w:t>
      </w:r>
      <w:r>
        <w:rPr>
          <w:sz w:val="24"/>
          <w:szCs w:val="24"/>
        </w:rPr>
        <w:t>s’est accru</w:t>
      </w:r>
      <w:r w:rsidRPr="002404D0">
        <w:rPr>
          <w:sz w:val="24"/>
          <w:szCs w:val="24"/>
        </w:rPr>
        <w:t xml:space="preserve"> de </w:t>
      </w:r>
      <w:r>
        <w:rPr>
          <w:sz w:val="24"/>
          <w:szCs w:val="24"/>
        </w:rPr>
        <w:t xml:space="preserve">21.778,6 </w:t>
      </w:r>
      <w:r w:rsidRPr="002404D0">
        <w:rPr>
          <w:sz w:val="24"/>
          <w:szCs w:val="24"/>
        </w:rPr>
        <w:t>MBIF</w:t>
      </w:r>
      <w:r>
        <w:rPr>
          <w:sz w:val="24"/>
          <w:szCs w:val="24"/>
        </w:rPr>
        <w:t xml:space="preserve"> suite à l’augmentation de la dette  </w:t>
      </w:r>
      <w:r w:rsidRPr="002404D0">
        <w:rPr>
          <w:sz w:val="24"/>
          <w:szCs w:val="24"/>
        </w:rPr>
        <w:t xml:space="preserve">intérieure </w:t>
      </w:r>
      <w:r>
        <w:rPr>
          <w:sz w:val="24"/>
          <w:szCs w:val="24"/>
        </w:rPr>
        <w:t>(+17.206,2 MBIF) et</w:t>
      </w:r>
      <w:r w:rsidRPr="002404D0">
        <w:rPr>
          <w:sz w:val="24"/>
          <w:szCs w:val="24"/>
        </w:rPr>
        <w:t xml:space="preserve"> extérieure </w:t>
      </w:r>
      <w:r>
        <w:rPr>
          <w:sz w:val="24"/>
          <w:szCs w:val="24"/>
        </w:rPr>
        <w:t>(+4</w:t>
      </w:r>
      <w:r w:rsidRPr="002404D0">
        <w:rPr>
          <w:sz w:val="24"/>
          <w:szCs w:val="24"/>
        </w:rPr>
        <w:t>.</w:t>
      </w:r>
      <w:r>
        <w:rPr>
          <w:sz w:val="24"/>
          <w:szCs w:val="24"/>
        </w:rPr>
        <w:t xml:space="preserve">572,4 MBIF). </w:t>
      </w:r>
    </w:p>
    <w:p w:rsidR="00960578" w:rsidRPr="00F37F70" w:rsidRDefault="00960578" w:rsidP="00F37F70">
      <w:pPr>
        <w:pStyle w:val="Titre3"/>
        <w:spacing w:after="120"/>
        <w:rPr>
          <w:rFonts w:asciiTheme="minorHAnsi" w:hAnsiTheme="minorHAnsi"/>
          <w:b w:val="0"/>
          <w:color w:val="0070C0"/>
          <w:sz w:val="24"/>
          <w:szCs w:val="24"/>
        </w:rPr>
      </w:pPr>
      <w:bookmarkStart w:id="11" w:name="_Toc375124043"/>
      <w:r w:rsidRPr="00F37F70">
        <w:rPr>
          <w:rFonts w:asciiTheme="minorHAnsi" w:hAnsiTheme="minorHAnsi"/>
          <w:color w:val="0070C0"/>
          <w:sz w:val="24"/>
          <w:szCs w:val="24"/>
        </w:rPr>
        <w:t>- Dette intérieure</w:t>
      </w:r>
      <w:bookmarkEnd w:id="11"/>
    </w:p>
    <w:p w:rsidR="00960578" w:rsidRDefault="00960578" w:rsidP="00154AB4">
      <w:pPr>
        <w:spacing w:after="120"/>
        <w:jc w:val="both"/>
        <w:rPr>
          <w:sz w:val="24"/>
          <w:szCs w:val="24"/>
        </w:rPr>
      </w:pPr>
      <w:r>
        <w:rPr>
          <w:sz w:val="24"/>
          <w:szCs w:val="24"/>
        </w:rPr>
        <w:t>En glissement annuel</w:t>
      </w:r>
      <w:r w:rsidRPr="002404D0">
        <w:rPr>
          <w:sz w:val="24"/>
          <w:szCs w:val="24"/>
        </w:rPr>
        <w:t>, le stock de la dette</w:t>
      </w:r>
      <w:r>
        <w:rPr>
          <w:sz w:val="24"/>
          <w:szCs w:val="24"/>
        </w:rPr>
        <w:t xml:space="preserve"> publique</w:t>
      </w:r>
      <w:r w:rsidRPr="002404D0">
        <w:rPr>
          <w:sz w:val="24"/>
          <w:szCs w:val="24"/>
        </w:rPr>
        <w:t xml:space="preserve"> intérieure</w:t>
      </w:r>
      <w:r>
        <w:rPr>
          <w:sz w:val="24"/>
          <w:szCs w:val="24"/>
        </w:rPr>
        <w:t xml:space="preserve"> </w:t>
      </w:r>
      <w:r w:rsidRPr="002404D0">
        <w:rPr>
          <w:sz w:val="24"/>
          <w:szCs w:val="24"/>
        </w:rPr>
        <w:t xml:space="preserve">a </w:t>
      </w:r>
      <w:r>
        <w:rPr>
          <w:sz w:val="24"/>
          <w:szCs w:val="24"/>
        </w:rPr>
        <w:t>progressé</w:t>
      </w:r>
      <w:r w:rsidRPr="002404D0">
        <w:rPr>
          <w:sz w:val="24"/>
          <w:szCs w:val="24"/>
        </w:rPr>
        <w:t xml:space="preserve"> de </w:t>
      </w:r>
      <w:r>
        <w:rPr>
          <w:sz w:val="24"/>
          <w:szCs w:val="24"/>
        </w:rPr>
        <w:t xml:space="preserve"> 52.590,5 </w:t>
      </w:r>
      <w:r w:rsidRPr="002404D0">
        <w:rPr>
          <w:sz w:val="24"/>
          <w:szCs w:val="24"/>
        </w:rPr>
        <w:t xml:space="preserve">MBIF,  passant de </w:t>
      </w:r>
      <w:r>
        <w:rPr>
          <w:sz w:val="24"/>
          <w:szCs w:val="24"/>
        </w:rPr>
        <w:t>551</w:t>
      </w:r>
      <w:r w:rsidRPr="002404D0">
        <w:rPr>
          <w:sz w:val="24"/>
          <w:szCs w:val="24"/>
        </w:rPr>
        <w:t>.</w:t>
      </w:r>
      <w:r>
        <w:rPr>
          <w:sz w:val="24"/>
          <w:szCs w:val="24"/>
        </w:rPr>
        <w:t>295</w:t>
      </w:r>
      <w:r w:rsidRPr="002404D0">
        <w:rPr>
          <w:sz w:val="24"/>
          <w:szCs w:val="24"/>
        </w:rPr>
        <w:t>,</w:t>
      </w:r>
      <w:r>
        <w:rPr>
          <w:sz w:val="24"/>
          <w:szCs w:val="24"/>
        </w:rPr>
        <w:t>4</w:t>
      </w:r>
      <w:r w:rsidRPr="002404D0">
        <w:rPr>
          <w:sz w:val="24"/>
          <w:szCs w:val="24"/>
        </w:rPr>
        <w:t xml:space="preserve"> à </w:t>
      </w:r>
      <w:r>
        <w:rPr>
          <w:sz w:val="24"/>
          <w:szCs w:val="24"/>
        </w:rPr>
        <w:t>603</w:t>
      </w:r>
      <w:r w:rsidRPr="002404D0">
        <w:rPr>
          <w:sz w:val="24"/>
          <w:szCs w:val="24"/>
        </w:rPr>
        <w:t>.</w:t>
      </w:r>
      <w:r>
        <w:rPr>
          <w:sz w:val="24"/>
          <w:szCs w:val="24"/>
        </w:rPr>
        <w:t>885</w:t>
      </w:r>
      <w:r w:rsidRPr="002404D0">
        <w:rPr>
          <w:sz w:val="24"/>
          <w:szCs w:val="24"/>
        </w:rPr>
        <w:t>,</w:t>
      </w:r>
      <w:r>
        <w:rPr>
          <w:sz w:val="24"/>
          <w:szCs w:val="24"/>
        </w:rPr>
        <w:t>9</w:t>
      </w:r>
      <w:r w:rsidRPr="00555858">
        <w:rPr>
          <w:sz w:val="24"/>
          <w:szCs w:val="24"/>
        </w:rPr>
        <w:t xml:space="preserve"> MBIF</w:t>
      </w:r>
      <w:r>
        <w:rPr>
          <w:sz w:val="24"/>
          <w:szCs w:val="24"/>
        </w:rPr>
        <w:t xml:space="preserve"> en liaison avec l’augmentation de l’endettement de l’</w:t>
      </w:r>
      <w:r w:rsidRPr="002404D0">
        <w:rPr>
          <w:sz w:val="24"/>
          <w:szCs w:val="24"/>
        </w:rPr>
        <w:t>Etat</w:t>
      </w:r>
      <w:r>
        <w:rPr>
          <w:sz w:val="24"/>
          <w:szCs w:val="24"/>
        </w:rPr>
        <w:t xml:space="preserve"> vis-à-vis du secteur bancaire (+156.053,0 MBIF)  atténuée par le désendettement de l’Etat envers le secteur </w:t>
      </w:r>
      <w:r w:rsidRPr="002404D0">
        <w:rPr>
          <w:sz w:val="24"/>
          <w:szCs w:val="24"/>
        </w:rPr>
        <w:t xml:space="preserve">non  bancaire </w:t>
      </w:r>
      <w:r w:rsidR="00154AB4">
        <w:rPr>
          <w:sz w:val="24"/>
          <w:szCs w:val="24"/>
        </w:rPr>
        <w:t xml:space="preserve">        </w:t>
      </w:r>
      <w:r w:rsidRPr="002404D0">
        <w:rPr>
          <w:sz w:val="24"/>
          <w:szCs w:val="24"/>
        </w:rPr>
        <w:t>(</w:t>
      </w:r>
      <w:r>
        <w:rPr>
          <w:sz w:val="24"/>
          <w:szCs w:val="24"/>
        </w:rPr>
        <w:t>-102.628,7</w:t>
      </w:r>
      <w:r w:rsidRPr="002404D0">
        <w:rPr>
          <w:sz w:val="24"/>
          <w:szCs w:val="24"/>
        </w:rPr>
        <w:t xml:space="preserve"> MBIF). </w:t>
      </w:r>
    </w:p>
    <w:p w:rsidR="00960578" w:rsidRDefault="00960578" w:rsidP="00154AB4">
      <w:pPr>
        <w:spacing w:after="120"/>
        <w:jc w:val="both"/>
        <w:rPr>
          <w:sz w:val="24"/>
          <w:szCs w:val="24"/>
        </w:rPr>
      </w:pPr>
      <w:r>
        <w:rPr>
          <w:sz w:val="24"/>
          <w:szCs w:val="24"/>
        </w:rPr>
        <w:lastRenderedPageBreak/>
        <w:t xml:space="preserve">La progression de l’endettement de l’Etat envers le secteur bancaire a concerné les engagements envers la Banque Centrale (+77.602,6 MBIF) et les banques commerciales (+74.178,0 MBIF). </w:t>
      </w:r>
    </w:p>
    <w:p w:rsidR="00960578" w:rsidRDefault="00960578" w:rsidP="00154AB4">
      <w:pPr>
        <w:spacing w:after="120"/>
        <w:jc w:val="both"/>
        <w:rPr>
          <w:sz w:val="24"/>
          <w:szCs w:val="24"/>
        </w:rPr>
      </w:pPr>
      <w:r>
        <w:rPr>
          <w:sz w:val="24"/>
          <w:szCs w:val="24"/>
        </w:rPr>
        <w:t xml:space="preserve">Le désendettement de l’Etat envers le secteur non bancaire a porté principalement sur les </w:t>
      </w:r>
      <w:r w:rsidRPr="002404D0">
        <w:rPr>
          <w:sz w:val="24"/>
          <w:szCs w:val="24"/>
        </w:rPr>
        <w:t>arriérés en dépense</w:t>
      </w:r>
      <w:r>
        <w:rPr>
          <w:sz w:val="24"/>
          <w:szCs w:val="24"/>
        </w:rPr>
        <w:t xml:space="preserve"> (-102.874,9 MBIF). </w:t>
      </w:r>
    </w:p>
    <w:p w:rsidR="00960578" w:rsidRDefault="00960578" w:rsidP="00154AB4">
      <w:pPr>
        <w:spacing w:after="120"/>
        <w:jc w:val="both"/>
        <w:rPr>
          <w:sz w:val="24"/>
          <w:szCs w:val="24"/>
        </w:rPr>
      </w:pPr>
      <w:r>
        <w:rPr>
          <w:sz w:val="24"/>
          <w:szCs w:val="24"/>
        </w:rPr>
        <w:t>D’un mois à l’autre</w:t>
      </w:r>
      <w:r w:rsidRPr="002404D0">
        <w:rPr>
          <w:sz w:val="24"/>
          <w:szCs w:val="24"/>
        </w:rPr>
        <w:t>, le stock de l</w:t>
      </w:r>
      <w:r>
        <w:rPr>
          <w:sz w:val="24"/>
          <w:szCs w:val="24"/>
        </w:rPr>
        <w:t xml:space="preserve">a dette intérieure a augmenté de 17.206,2  </w:t>
      </w:r>
      <w:r w:rsidRPr="002404D0">
        <w:rPr>
          <w:sz w:val="24"/>
          <w:szCs w:val="24"/>
        </w:rPr>
        <w:t xml:space="preserve">MBIF, </w:t>
      </w:r>
      <w:r>
        <w:rPr>
          <w:sz w:val="24"/>
          <w:szCs w:val="24"/>
        </w:rPr>
        <w:t>passant</w:t>
      </w:r>
      <w:r w:rsidRPr="002404D0">
        <w:rPr>
          <w:sz w:val="24"/>
          <w:szCs w:val="24"/>
        </w:rPr>
        <w:t xml:space="preserve"> de </w:t>
      </w:r>
      <w:r>
        <w:rPr>
          <w:sz w:val="24"/>
          <w:szCs w:val="24"/>
        </w:rPr>
        <w:t xml:space="preserve">586.679,7 à 603.885,9 MBIF suite à l’endettement de l’Etat vis-à-vis du secteur bancaire (+10.131,2 MBIF) et </w:t>
      </w:r>
      <w:r w:rsidRPr="002404D0">
        <w:rPr>
          <w:sz w:val="24"/>
          <w:szCs w:val="24"/>
        </w:rPr>
        <w:t xml:space="preserve">non  bancaire </w:t>
      </w:r>
      <w:r>
        <w:rPr>
          <w:sz w:val="24"/>
          <w:szCs w:val="24"/>
        </w:rPr>
        <w:t xml:space="preserve">(+7.075,0 MBIF).    </w:t>
      </w:r>
    </w:p>
    <w:p w:rsidR="00960578" w:rsidRPr="00F37F70" w:rsidRDefault="00960578" w:rsidP="00F37F70">
      <w:pPr>
        <w:pStyle w:val="Titre3"/>
        <w:spacing w:after="120"/>
        <w:rPr>
          <w:rFonts w:asciiTheme="minorHAnsi" w:hAnsiTheme="minorHAnsi"/>
          <w:b w:val="0"/>
          <w:color w:val="0070C0"/>
          <w:sz w:val="24"/>
          <w:szCs w:val="24"/>
        </w:rPr>
      </w:pPr>
      <w:bookmarkStart w:id="12" w:name="_Toc375124044"/>
      <w:r w:rsidRPr="00F37F70">
        <w:rPr>
          <w:rFonts w:asciiTheme="minorHAnsi" w:hAnsiTheme="minorHAnsi"/>
          <w:color w:val="0070C0"/>
          <w:sz w:val="24"/>
          <w:szCs w:val="24"/>
        </w:rPr>
        <w:t>- Dette extérieure</w:t>
      </w:r>
      <w:bookmarkEnd w:id="12"/>
    </w:p>
    <w:p w:rsidR="00960578" w:rsidRPr="002404D0" w:rsidRDefault="00960578" w:rsidP="00154AB4">
      <w:pPr>
        <w:spacing w:after="120"/>
        <w:jc w:val="both"/>
        <w:rPr>
          <w:sz w:val="24"/>
          <w:szCs w:val="24"/>
        </w:rPr>
      </w:pPr>
      <w:r w:rsidRPr="002404D0">
        <w:rPr>
          <w:sz w:val="24"/>
          <w:szCs w:val="24"/>
        </w:rPr>
        <w:t xml:space="preserve">En glissement annuel, l’encours de la dette publique extérieure </w:t>
      </w:r>
      <w:r>
        <w:rPr>
          <w:sz w:val="24"/>
          <w:szCs w:val="24"/>
        </w:rPr>
        <w:t xml:space="preserve">a progressé </w:t>
      </w:r>
      <w:r w:rsidRPr="002404D0">
        <w:rPr>
          <w:sz w:val="24"/>
          <w:szCs w:val="24"/>
        </w:rPr>
        <w:t xml:space="preserve">de </w:t>
      </w:r>
      <w:r>
        <w:rPr>
          <w:sz w:val="24"/>
          <w:szCs w:val="24"/>
        </w:rPr>
        <w:t>62</w:t>
      </w:r>
      <w:r w:rsidRPr="002404D0">
        <w:rPr>
          <w:sz w:val="24"/>
          <w:szCs w:val="24"/>
        </w:rPr>
        <w:t>.</w:t>
      </w:r>
      <w:r>
        <w:rPr>
          <w:sz w:val="24"/>
          <w:szCs w:val="24"/>
        </w:rPr>
        <w:t>085</w:t>
      </w:r>
      <w:r w:rsidRPr="002404D0">
        <w:rPr>
          <w:sz w:val="24"/>
          <w:szCs w:val="24"/>
        </w:rPr>
        <w:t>,</w:t>
      </w:r>
      <w:r>
        <w:rPr>
          <w:sz w:val="24"/>
          <w:szCs w:val="24"/>
        </w:rPr>
        <w:t>6 MBIF, passant de 553.681,2 à 615.766,8 M</w:t>
      </w:r>
      <w:r w:rsidRPr="002404D0">
        <w:rPr>
          <w:sz w:val="24"/>
          <w:szCs w:val="24"/>
        </w:rPr>
        <w:t xml:space="preserve">BIF. Cette </w:t>
      </w:r>
      <w:r>
        <w:rPr>
          <w:sz w:val="24"/>
          <w:szCs w:val="24"/>
        </w:rPr>
        <w:t>progression</w:t>
      </w:r>
      <w:r w:rsidRPr="002404D0">
        <w:rPr>
          <w:sz w:val="24"/>
          <w:szCs w:val="24"/>
        </w:rPr>
        <w:t xml:space="preserve"> a résulté des nouveaux tirages </w:t>
      </w:r>
      <w:r>
        <w:rPr>
          <w:sz w:val="24"/>
          <w:szCs w:val="24"/>
        </w:rPr>
        <w:t>(51.088,6</w:t>
      </w:r>
      <w:r w:rsidRPr="002404D0">
        <w:rPr>
          <w:sz w:val="24"/>
          <w:szCs w:val="24"/>
        </w:rPr>
        <w:t xml:space="preserve"> MBIF</w:t>
      </w:r>
      <w:r>
        <w:rPr>
          <w:sz w:val="24"/>
          <w:szCs w:val="24"/>
        </w:rPr>
        <w:t>) et des plus-values de réévaluation (20.385,5</w:t>
      </w:r>
      <w:r w:rsidRPr="002404D0">
        <w:rPr>
          <w:sz w:val="24"/>
          <w:szCs w:val="24"/>
        </w:rPr>
        <w:t xml:space="preserve"> MBIF</w:t>
      </w:r>
      <w:r>
        <w:rPr>
          <w:sz w:val="24"/>
          <w:szCs w:val="24"/>
        </w:rPr>
        <w:t xml:space="preserve">), </w:t>
      </w:r>
      <w:r w:rsidRPr="002404D0">
        <w:rPr>
          <w:sz w:val="24"/>
          <w:szCs w:val="24"/>
        </w:rPr>
        <w:t>légèrement atténué</w:t>
      </w:r>
      <w:r>
        <w:rPr>
          <w:sz w:val="24"/>
          <w:szCs w:val="24"/>
        </w:rPr>
        <w:t>s</w:t>
      </w:r>
      <w:r w:rsidRPr="002404D0">
        <w:rPr>
          <w:sz w:val="24"/>
          <w:szCs w:val="24"/>
        </w:rPr>
        <w:t xml:space="preserve"> par </w:t>
      </w:r>
      <w:r>
        <w:rPr>
          <w:sz w:val="24"/>
          <w:szCs w:val="24"/>
        </w:rPr>
        <w:t>l’amortissement</w:t>
      </w:r>
      <w:r w:rsidRPr="002404D0">
        <w:rPr>
          <w:sz w:val="24"/>
          <w:szCs w:val="24"/>
        </w:rPr>
        <w:t xml:space="preserve"> </w:t>
      </w:r>
      <w:r>
        <w:rPr>
          <w:sz w:val="24"/>
          <w:szCs w:val="24"/>
        </w:rPr>
        <w:t xml:space="preserve">(9.388,6 </w:t>
      </w:r>
      <w:r w:rsidRPr="003F28B5">
        <w:rPr>
          <w:sz w:val="24"/>
          <w:szCs w:val="24"/>
        </w:rPr>
        <w:t>MBIF</w:t>
      </w:r>
      <w:r>
        <w:rPr>
          <w:sz w:val="24"/>
          <w:szCs w:val="24"/>
        </w:rPr>
        <w:t>)</w:t>
      </w:r>
      <w:r w:rsidRPr="002404D0">
        <w:rPr>
          <w:sz w:val="24"/>
          <w:szCs w:val="24"/>
        </w:rPr>
        <w:t xml:space="preserve">.  </w:t>
      </w:r>
    </w:p>
    <w:p w:rsidR="00960578" w:rsidRDefault="00960578" w:rsidP="00154AB4">
      <w:pPr>
        <w:spacing w:after="120"/>
        <w:jc w:val="both"/>
        <w:rPr>
          <w:sz w:val="24"/>
          <w:szCs w:val="24"/>
        </w:rPr>
      </w:pPr>
      <w:r>
        <w:rPr>
          <w:sz w:val="24"/>
          <w:szCs w:val="24"/>
        </w:rPr>
        <w:t xml:space="preserve">D’un mois à l’autre, l’encours de la dette publique extérieure </w:t>
      </w:r>
      <w:r w:rsidRPr="003F28B5">
        <w:rPr>
          <w:sz w:val="24"/>
          <w:szCs w:val="24"/>
        </w:rPr>
        <w:t xml:space="preserve">a </w:t>
      </w:r>
      <w:r>
        <w:rPr>
          <w:sz w:val="24"/>
          <w:szCs w:val="24"/>
        </w:rPr>
        <w:t>augmenté</w:t>
      </w:r>
      <w:r w:rsidRPr="003F28B5">
        <w:rPr>
          <w:sz w:val="24"/>
          <w:szCs w:val="24"/>
        </w:rPr>
        <w:t xml:space="preserve"> de </w:t>
      </w:r>
      <w:r>
        <w:rPr>
          <w:sz w:val="24"/>
          <w:szCs w:val="24"/>
        </w:rPr>
        <w:t>4.572</w:t>
      </w:r>
      <w:r w:rsidRPr="003F28B5">
        <w:rPr>
          <w:sz w:val="24"/>
          <w:szCs w:val="24"/>
        </w:rPr>
        <w:t>,</w:t>
      </w:r>
      <w:r>
        <w:rPr>
          <w:sz w:val="24"/>
          <w:szCs w:val="24"/>
        </w:rPr>
        <w:t>4</w:t>
      </w:r>
      <w:r w:rsidRPr="003F28B5">
        <w:rPr>
          <w:sz w:val="24"/>
          <w:szCs w:val="24"/>
        </w:rPr>
        <w:t xml:space="preserve"> MBIF</w:t>
      </w:r>
      <w:r>
        <w:rPr>
          <w:sz w:val="24"/>
          <w:szCs w:val="24"/>
        </w:rPr>
        <w:t>,</w:t>
      </w:r>
      <w:r w:rsidRPr="003F28B5">
        <w:rPr>
          <w:sz w:val="24"/>
          <w:szCs w:val="24"/>
        </w:rPr>
        <w:t xml:space="preserve"> </w:t>
      </w:r>
      <w:r>
        <w:rPr>
          <w:sz w:val="24"/>
          <w:szCs w:val="24"/>
        </w:rPr>
        <w:t>passant de 611.194,4 à 615.766,8 MBIF en rapport avec les plus-values de réévaluation  (1.636,3 MBIF) et</w:t>
      </w:r>
      <w:r w:rsidRPr="006B569A">
        <w:rPr>
          <w:sz w:val="24"/>
          <w:szCs w:val="24"/>
        </w:rPr>
        <w:t xml:space="preserve"> </w:t>
      </w:r>
      <w:r>
        <w:rPr>
          <w:sz w:val="24"/>
          <w:szCs w:val="24"/>
        </w:rPr>
        <w:t>les</w:t>
      </w:r>
      <w:r w:rsidRPr="00182C0E">
        <w:rPr>
          <w:sz w:val="24"/>
          <w:szCs w:val="24"/>
        </w:rPr>
        <w:t xml:space="preserve"> </w:t>
      </w:r>
      <w:r>
        <w:rPr>
          <w:sz w:val="24"/>
          <w:szCs w:val="24"/>
        </w:rPr>
        <w:t>tirages (4.918,0 MBIF) qui ont dépassé les amortissements (1.981,9 MBIF).</w:t>
      </w:r>
    </w:p>
    <w:p w:rsidR="00960578" w:rsidRPr="008A64D9" w:rsidRDefault="00960578" w:rsidP="00154AB4">
      <w:pPr>
        <w:spacing w:after="120"/>
        <w:jc w:val="both"/>
        <w:rPr>
          <w:rFonts w:ascii="Arial" w:eastAsia="Times New Roman" w:hAnsi="Arial" w:cs="Arial"/>
          <w:sz w:val="20"/>
          <w:szCs w:val="20"/>
          <w:lang w:eastAsia="fr-FR"/>
        </w:rPr>
      </w:pPr>
      <w:r>
        <w:rPr>
          <w:sz w:val="24"/>
          <w:szCs w:val="24"/>
        </w:rPr>
        <w:t xml:space="preserve">Les tirages du mois d’octobre 2013 ont été orientés vers le Programme de développement des filières agricoles, le programme post conflit, le secteur routier (route BUBANZA-NDORA) et le secteur énergétique (centrale hydroélectrique KABU 16). Le programme post conflit a été financé par l’OPEP et le FIDA à hauteur de </w:t>
      </w:r>
      <w:r>
        <w:rPr>
          <w:sz w:val="24"/>
          <w:szCs w:val="24"/>
        </w:rPr>
        <w:lastRenderedPageBreak/>
        <w:t>501,9 et 173,7 MBIF</w:t>
      </w:r>
      <w:r w:rsidRPr="003247FB">
        <w:rPr>
          <w:sz w:val="24"/>
          <w:szCs w:val="24"/>
        </w:rPr>
        <w:t xml:space="preserve"> </w:t>
      </w:r>
      <w:r>
        <w:rPr>
          <w:sz w:val="24"/>
          <w:szCs w:val="24"/>
        </w:rPr>
        <w:t>respectivement.</w:t>
      </w:r>
      <w:r w:rsidRPr="003247FB">
        <w:rPr>
          <w:sz w:val="24"/>
          <w:szCs w:val="24"/>
        </w:rPr>
        <w:t xml:space="preserve"> </w:t>
      </w:r>
      <w:r>
        <w:rPr>
          <w:sz w:val="24"/>
          <w:szCs w:val="24"/>
        </w:rPr>
        <w:t xml:space="preserve">Le Programme de développement des filières agricoles a été financé par l’OPEP à hauteur de </w:t>
      </w:r>
      <w:r>
        <w:rPr>
          <w:rFonts w:ascii="Arial" w:eastAsia="Times New Roman" w:hAnsi="Arial" w:cs="Arial"/>
          <w:sz w:val="20"/>
          <w:szCs w:val="20"/>
          <w:lang w:eastAsia="fr-FR"/>
        </w:rPr>
        <w:t xml:space="preserve">541,1 </w:t>
      </w:r>
      <w:r>
        <w:rPr>
          <w:sz w:val="24"/>
          <w:szCs w:val="24"/>
        </w:rPr>
        <w:t xml:space="preserve">MBIF. Les secteurs routier et énergétique ont bénéficié d’un financement de la BADEA et de l’EXIM Bank à hauteur de 224,3 et 195,4 MBIF respectivement.  </w:t>
      </w:r>
    </w:p>
    <w:p w:rsidR="00F37F70" w:rsidRDefault="00960578" w:rsidP="00F37F70">
      <w:pPr>
        <w:spacing w:after="0"/>
        <w:jc w:val="both"/>
        <w:rPr>
          <w:sz w:val="24"/>
          <w:szCs w:val="24"/>
        </w:rPr>
      </w:pPr>
      <w:r w:rsidRPr="002404D0">
        <w:rPr>
          <w:sz w:val="24"/>
          <w:szCs w:val="24"/>
        </w:rPr>
        <w:t xml:space="preserve">Exprimé en dollars américains, le stock de la dette extérieure à fin </w:t>
      </w:r>
      <w:r>
        <w:rPr>
          <w:sz w:val="24"/>
          <w:szCs w:val="24"/>
        </w:rPr>
        <w:t xml:space="preserve">Octobre </w:t>
      </w:r>
      <w:r w:rsidRPr="002404D0">
        <w:rPr>
          <w:sz w:val="24"/>
          <w:szCs w:val="24"/>
        </w:rPr>
        <w:t>20</w:t>
      </w:r>
      <w:r>
        <w:rPr>
          <w:sz w:val="24"/>
          <w:szCs w:val="24"/>
        </w:rPr>
        <w:t>13</w:t>
      </w:r>
      <w:r w:rsidRPr="002404D0">
        <w:rPr>
          <w:sz w:val="24"/>
          <w:szCs w:val="24"/>
        </w:rPr>
        <w:t xml:space="preserve"> a </w:t>
      </w:r>
      <w:r>
        <w:rPr>
          <w:sz w:val="24"/>
          <w:szCs w:val="24"/>
        </w:rPr>
        <w:t>augmenté</w:t>
      </w:r>
      <w:r w:rsidRPr="002404D0">
        <w:rPr>
          <w:sz w:val="24"/>
          <w:szCs w:val="24"/>
        </w:rPr>
        <w:t xml:space="preserve"> de </w:t>
      </w:r>
      <w:r>
        <w:rPr>
          <w:sz w:val="24"/>
          <w:szCs w:val="24"/>
        </w:rPr>
        <w:t>27,5</w:t>
      </w:r>
      <w:r w:rsidRPr="002404D0">
        <w:rPr>
          <w:sz w:val="24"/>
          <w:szCs w:val="24"/>
        </w:rPr>
        <w:t xml:space="preserve"> MUSD, </w:t>
      </w:r>
      <w:r>
        <w:rPr>
          <w:sz w:val="24"/>
          <w:szCs w:val="24"/>
        </w:rPr>
        <w:t>se fixant à 400,0</w:t>
      </w:r>
      <w:r w:rsidRPr="002404D0">
        <w:rPr>
          <w:sz w:val="24"/>
          <w:szCs w:val="24"/>
        </w:rPr>
        <w:t xml:space="preserve"> </w:t>
      </w:r>
      <w:r>
        <w:rPr>
          <w:sz w:val="24"/>
          <w:szCs w:val="24"/>
        </w:rPr>
        <w:t>contre</w:t>
      </w:r>
      <w:r w:rsidRPr="002404D0">
        <w:rPr>
          <w:sz w:val="24"/>
          <w:szCs w:val="24"/>
        </w:rPr>
        <w:t xml:space="preserve"> </w:t>
      </w:r>
      <w:r>
        <w:rPr>
          <w:sz w:val="24"/>
          <w:szCs w:val="24"/>
        </w:rPr>
        <w:t>372</w:t>
      </w:r>
      <w:r w:rsidRPr="002404D0">
        <w:rPr>
          <w:sz w:val="24"/>
          <w:szCs w:val="24"/>
        </w:rPr>
        <w:t>,</w:t>
      </w:r>
      <w:r>
        <w:rPr>
          <w:sz w:val="24"/>
          <w:szCs w:val="24"/>
        </w:rPr>
        <w:t>5</w:t>
      </w:r>
      <w:r w:rsidRPr="002404D0">
        <w:rPr>
          <w:sz w:val="24"/>
          <w:szCs w:val="24"/>
        </w:rPr>
        <w:t xml:space="preserve"> MUSD à</w:t>
      </w:r>
      <w:r>
        <w:rPr>
          <w:sz w:val="24"/>
          <w:szCs w:val="24"/>
        </w:rPr>
        <w:t xml:space="preserve"> la fin de</w:t>
      </w:r>
      <w:r w:rsidRPr="002404D0">
        <w:rPr>
          <w:sz w:val="24"/>
          <w:szCs w:val="24"/>
        </w:rPr>
        <w:t xml:space="preserve"> la période</w:t>
      </w:r>
      <w:r>
        <w:rPr>
          <w:sz w:val="24"/>
          <w:szCs w:val="24"/>
        </w:rPr>
        <w:t xml:space="preserve"> correspondante</w:t>
      </w:r>
      <w:r w:rsidRPr="002404D0">
        <w:rPr>
          <w:sz w:val="24"/>
          <w:szCs w:val="24"/>
        </w:rPr>
        <w:t xml:space="preserve"> de l’année précédente.</w:t>
      </w:r>
      <w:bookmarkStart w:id="13" w:name="_Toc375124045"/>
    </w:p>
    <w:p w:rsidR="00F37F70" w:rsidRDefault="00F37F70" w:rsidP="00F37F70">
      <w:pPr>
        <w:spacing w:after="0"/>
        <w:jc w:val="both"/>
        <w:rPr>
          <w:sz w:val="24"/>
          <w:szCs w:val="24"/>
        </w:rPr>
      </w:pPr>
    </w:p>
    <w:p w:rsidR="006C5B5F" w:rsidRPr="00F37F70" w:rsidRDefault="00F37F70" w:rsidP="00F37F70">
      <w:pPr>
        <w:spacing w:after="120"/>
        <w:jc w:val="both"/>
        <w:rPr>
          <w:rFonts w:ascii="Calibri" w:eastAsia="Calibri" w:hAnsi="Calibri" w:cs="Times New Roman"/>
          <w:b/>
          <w:color w:val="0070C0"/>
          <w:sz w:val="24"/>
          <w:szCs w:val="24"/>
        </w:rPr>
      </w:pPr>
      <w:r>
        <w:rPr>
          <w:rFonts w:ascii="Calibri" w:eastAsia="Calibri" w:hAnsi="Calibri" w:cs="Times New Roman"/>
          <w:b/>
          <w:color w:val="0070C0"/>
          <w:sz w:val="24"/>
          <w:szCs w:val="24"/>
        </w:rPr>
        <w:t xml:space="preserve">V. </w:t>
      </w:r>
      <w:r w:rsidR="006C5B5F" w:rsidRPr="00F37F70">
        <w:rPr>
          <w:rFonts w:ascii="Calibri" w:eastAsia="Calibri" w:hAnsi="Calibri" w:cs="Times New Roman"/>
          <w:b/>
          <w:color w:val="0070C0"/>
          <w:sz w:val="24"/>
          <w:szCs w:val="24"/>
        </w:rPr>
        <w:t>BASE MONETAIRE, MASSE MONETAIRE ET SES CONTREPARTIES</w:t>
      </w:r>
      <w:bookmarkEnd w:id="13"/>
    </w:p>
    <w:p w:rsidR="006C5B5F" w:rsidRPr="00F37F70" w:rsidRDefault="006C5B5F" w:rsidP="00F37F70">
      <w:pPr>
        <w:pStyle w:val="Titre2"/>
        <w:spacing w:after="120"/>
        <w:rPr>
          <w:rFonts w:ascii="Calibri" w:eastAsia="Calibri" w:hAnsi="Calibri" w:cs="Times New Roman"/>
          <w:b w:val="0"/>
          <w:color w:val="0070C0"/>
          <w:sz w:val="24"/>
          <w:szCs w:val="24"/>
        </w:rPr>
      </w:pPr>
      <w:bookmarkStart w:id="14" w:name="_Toc375124046"/>
      <w:r w:rsidRPr="00F37F70">
        <w:rPr>
          <w:rFonts w:ascii="Calibri" w:eastAsia="Calibri" w:hAnsi="Calibri" w:cs="Times New Roman"/>
          <w:color w:val="0070C0"/>
          <w:sz w:val="24"/>
          <w:szCs w:val="24"/>
        </w:rPr>
        <w:t>Base monétaire</w:t>
      </w:r>
      <w:bookmarkEnd w:id="14"/>
    </w:p>
    <w:p w:rsidR="006C5B5F" w:rsidRPr="005227B0" w:rsidRDefault="006C5B5F" w:rsidP="00154AB4">
      <w:pPr>
        <w:pStyle w:val="Retraitcorpsdetexte3"/>
        <w:spacing w:after="120"/>
        <w:ind w:firstLine="0"/>
        <w:rPr>
          <w:color w:val="auto"/>
          <w:sz w:val="24"/>
          <w:szCs w:val="24"/>
        </w:rPr>
      </w:pPr>
      <w:r w:rsidRPr="00155902">
        <w:rPr>
          <w:color w:val="auto"/>
          <w:sz w:val="24"/>
          <w:szCs w:val="24"/>
        </w:rPr>
        <w:t xml:space="preserve">En </w:t>
      </w:r>
      <w:r>
        <w:rPr>
          <w:color w:val="auto"/>
          <w:sz w:val="24"/>
          <w:szCs w:val="24"/>
        </w:rPr>
        <w:t xml:space="preserve">termes de </w:t>
      </w:r>
      <w:r w:rsidRPr="00155902">
        <w:rPr>
          <w:color w:val="auto"/>
          <w:sz w:val="24"/>
          <w:szCs w:val="24"/>
        </w:rPr>
        <w:t xml:space="preserve">glissement sur douze mois, la base monétaire s’est accrue de 48.859,2 MBIF, soit 21,0 p.c., passant de 232.784,1 à 281.643,3 MBIF. Cette augmentation a concerné les dépôts du secteur bancaire (+24.903,0 MBIF), les billets et pièces en circulation (+21.936,4 MBIF), les dépôts des établissements financiers (+593,9 MBIF) et les dépôts divers (+3.664,4 MBIF). En revanche, les dépôts des sociétés à participation publique ont diminué de 2.238,5 MBIF.  </w:t>
      </w:r>
    </w:p>
    <w:p w:rsidR="006C5B5F" w:rsidRPr="000016A7" w:rsidRDefault="006C5B5F" w:rsidP="00F37F70">
      <w:pPr>
        <w:pStyle w:val="Titre2"/>
        <w:spacing w:after="120"/>
        <w:rPr>
          <w:rFonts w:ascii="Calibri" w:eastAsia="Calibri" w:hAnsi="Calibri" w:cs="Times New Roman"/>
          <w:b w:val="0"/>
        </w:rPr>
      </w:pPr>
      <w:bookmarkStart w:id="15" w:name="_Toc375124047"/>
      <w:r w:rsidRPr="00154AB4">
        <w:rPr>
          <w:rFonts w:ascii="Calibri" w:eastAsia="Calibri" w:hAnsi="Calibri" w:cs="Times New Roman"/>
          <w:color w:val="0070C0"/>
        </w:rPr>
        <w:t>Masse monétaire</w:t>
      </w:r>
      <w:bookmarkEnd w:id="15"/>
    </w:p>
    <w:p w:rsidR="006C5B5F" w:rsidRPr="000016A7" w:rsidRDefault="006C5B5F" w:rsidP="00154AB4">
      <w:pPr>
        <w:spacing w:after="120"/>
        <w:jc w:val="both"/>
        <w:rPr>
          <w:rFonts w:ascii="Calibri" w:eastAsia="Calibri" w:hAnsi="Calibri" w:cs="Times New Roman"/>
          <w:sz w:val="24"/>
        </w:rPr>
      </w:pPr>
      <w:r w:rsidRPr="000016A7">
        <w:rPr>
          <w:rFonts w:ascii="Calibri" w:eastAsia="Calibri" w:hAnsi="Calibri" w:cs="Times New Roman"/>
        </w:rPr>
        <w:t xml:space="preserve">Comparée à </w:t>
      </w:r>
      <w:r w:rsidR="001552FD">
        <w:rPr>
          <w:rFonts w:ascii="Calibri" w:eastAsia="Calibri" w:hAnsi="Calibri" w:cs="Times New Roman"/>
        </w:rPr>
        <w:t xml:space="preserve">celle de </w:t>
      </w:r>
      <w:r w:rsidRPr="000016A7">
        <w:rPr>
          <w:rFonts w:ascii="Calibri" w:eastAsia="Calibri" w:hAnsi="Calibri" w:cs="Times New Roman"/>
        </w:rPr>
        <w:t xml:space="preserve">fin </w:t>
      </w:r>
      <w:r>
        <w:rPr>
          <w:rFonts w:ascii="Calibri" w:eastAsia="Calibri" w:hAnsi="Calibri" w:cs="Times New Roman"/>
        </w:rPr>
        <w:t>octobre</w:t>
      </w:r>
      <w:r w:rsidRPr="000016A7">
        <w:rPr>
          <w:rFonts w:ascii="Calibri" w:eastAsia="Calibri" w:hAnsi="Calibri" w:cs="Times New Roman"/>
        </w:rPr>
        <w:t xml:space="preserve"> 2012, la masse monétaire (811.865,1 contre 680.965,0 MBIF) a  fortement progressé de 130.900,1 MBIF, soit 19,2 p.c., en liaison avec l’accroissement des disponibilités monétaires (+91.177,2 MBIF) et de la quasi-monnaie (+39.722,9 MBIF).</w:t>
      </w:r>
    </w:p>
    <w:p w:rsidR="006C5B5F" w:rsidRPr="00155902" w:rsidRDefault="006C5B5F" w:rsidP="00154AB4">
      <w:pPr>
        <w:pStyle w:val="Retraitcorpsdetexte"/>
        <w:spacing w:after="120"/>
        <w:ind w:firstLine="0"/>
        <w:rPr>
          <w:color w:val="FF0000"/>
          <w:sz w:val="24"/>
        </w:rPr>
      </w:pPr>
      <w:r w:rsidRPr="000016A7">
        <w:rPr>
          <w:sz w:val="24"/>
        </w:rPr>
        <w:t xml:space="preserve">La hausse des disponibilités monétaires a concerné à la fois les dépôts à vue (+73.314,2 MBIF) et la circulation fiduciaire hors banques (+17.863,0 MBIF). </w:t>
      </w:r>
    </w:p>
    <w:p w:rsidR="006C5B5F" w:rsidRPr="00B73D07" w:rsidRDefault="006C5B5F" w:rsidP="006C5B5F">
      <w:pPr>
        <w:pStyle w:val="Retraitcorpsdetexte"/>
        <w:ind w:firstLine="0"/>
        <w:rPr>
          <w:sz w:val="24"/>
        </w:rPr>
      </w:pPr>
      <w:r w:rsidRPr="00B73D07">
        <w:rPr>
          <w:sz w:val="24"/>
        </w:rPr>
        <w:lastRenderedPageBreak/>
        <w:t xml:space="preserve">L’augmentation des dépôts à vue a porté sur les dépôts des particuliers (+29.420,3 MBIF), </w:t>
      </w:r>
      <w:r>
        <w:rPr>
          <w:sz w:val="24"/>
        </w:rPr>
        <w:t xml:space="preserve"> des </w:t>
      </w:r>
      <w:r w:rsidRPr="00B73D07">
        <w:rPr>
          <w:sz w:val="24"/>
        </w:rPr>
        <w:t xml:space="preserve">entreprises privées (+24.161,6 MBIF), des sociétés à participation publique (+9.614,9 MBIF), des établissements financiers (+1.171,5 MBIF) et sur les dépôts regroupés dans les « autres comptes » (+8.945,8 MBIF). </w:t>
      </w:r>
    </w:p>
    <w:p w:rsidR="006C5B5F" w:rsidRPr="00B73D07" w:rsidRDefault="006C5B5F" w:rsidP="006C5B5F">
      <w:pPr>
        <w:pStyle w:val="Retraitcorpsdetexte"/>
        <w:rPr>
          <w:sz w:val="24"/>
        </w:rPr>
      </w:pPr>
    </w:p>
    <w:p w:rsidR="006C5B5F" w:rsidRPr="00B73D07" w:rsidRDefault="006C5B5F" w:rsidP="00154AB4">
      <w:pPr>
        <w:pStyle w:val="Retraitcorpsdetexte"/>
        <w:spacing w:after="120"/>
        <w:ind w:firstLine="0"/>
        <w:rPr>
          <w:sz w:val="24"/>
        </w:rPr>
      </w:pPr>
      <w:r w:rsidRPr="00B73D07">
        <w:rPr>
          <w:sz w:val="24"/>
        </w:rPr>
        <w:t xml:space="preserve">L’accroissement des dépôts à terme et d’épargne a résulté de la hausse des placements des particuliers (+19.565,0 MBIF), des entreprises privées (+3.923,1 MBIF), des sociétés à participation publique (+716,9 MBIF) ainsi que des dépôts regroupés dans les « autres comptes » (+15.817,9 MBIF). </w:t>
      </w:r>
    </w:p>
    <w:p w:rsidR="006C5B5F" w:rsidRPr="00154AB4" w:rsidRDefault="006C5B5F" w:rsidP="00F37F70">
      <w:pPr>
        <w:pStyle w:val="Titre2"/>
        <w:spacing w:after="120"/>
        <w:rPr>
          <w:rFonts w:ascii="Calibri" w:eastAsia="Calibri" w:hAnsi="Calibri" w:cs="Times New Roman"/>
          <w:b w:val="0"/>
          <w:color w:val="0070C0"/>
        </w:rPr>
      </w:pPr>
      <w:bookmarkStart w:id="16" w:name="_Toc375124048"/>
      <w:r w:rsidRPr="00154AB4">
        <w:rPr>
          <w:rFonts w:ascii="Calibri" w:eastAsia="Calibri" w:hAnsi="Calibri" w:cs="Times New Roman"/>
          <w:color w:val="0070C0"/>
        </w:rPr>
        <w:t>Contreparties</w:t>
      </w:r>
      <w:bookmarkEnd w:id="16"/>
    </w:p>
    <w:p w:rsidR="006C5B5F" w:rsidRPr="000D4377" w:rsidRDefault="006C5B5F" w:rsidP="00154AB4">
      <w:pPr>
        <w:spacing w:after="120"/>
        <w:jc w:val="both"/>
        <w:rPr>
          <w:rFonts w:ascii="Calibri" w:eastAsia="Calibri" w:hAnsi="Calibri" w:cs="Times New Roman"/>
        </w:rPr>
      </w:pPr>
      <w:r w:rsidRPr="009C20F7">
        <w:rPr>
          <w:rFonts w:ascii="Calibri" w:eastAsia="Calibri" w:hAnsi="Calibri" w:cs="Times New Roman"/>
        </w:rPr>
        <w:t>S’établissant à 1.088.802,4 contre 901.638,8 MBIF à fin octobre 2012, le crédit intérieur s’est  sensiblement accru de 187.163,6 MBIF, soit 20,8 p.c., en rapport avec la forte augmentation des créances nettes sur l’Etat (+146.933,1 MBIF) et des créances sur l’économie (+40.230,5 MBIF).</w:t>
      </w:r>
    </w:p>
    <w:p w:rsidR="006C5B5F" w:rsidRPr="00155902" w:rsidRDefault="006C5B5F" w:rsidP="00154AB4">
      <w:pPr>
        <w:spacing w:after="120"/>
        <w:jc w:val="both"/>
        <w:rPr>
          <w:rFonts w:ascii="Calibri" w:eastAsia="Calibri" w:hAnsi="Calibri" w:cs="Times New Roman"/>
          <w:color w:val="FF0000"/>
        </w:rPr>
      </w:pPr>
      <w:r w:rsidRPr="000D4377">
        <w:rPr>
          <w:rFonts w:ascii="Calibri" w:eastAsia="Calibri" w:hAnsi="Calibri" w:cs="Times New Roman"/>
        </w:rPr>
        <w:t xml:space="preserve">L’accroissement de l’endettement net de l’Etat est imputable principalement à la hausse des avances de la Banque Centrale (+77.602,6 MBIF) et de l’encours des Bons et Obligations du Trésor détenus par les banques commerciales (+74.178,0 MBIF), partiellement atténuée par l’augmentation des dépôts du secteur gouvernemental (+26.102,9 MBIF).  </w:t>
      </w:r>
    </w:p>
    <w:p w:rsidR="006C5B5F" w:rsidRPr="00A5405F" w:rsidRDefault="006C5B5F" w:rsidP="00154AB4">
      <w:pPr>
        <w:spacing w:after="120"/>
        <w:jc w:val="both"/>
        <w:rPr>
          <w:rFonts w:ascii="Calibri" w:eastAsia="Calibri" w:hAnsi="Calibri" w:cs="Times New Roman"/>
        </w:rPr>
      </w:pPr>
      <w:r w:rsidRPr="00860E83">
        <w:rPr>
          <w:rFonts w:ascii="Calibri" w:eastAsia="Calibri" w:hAnsi="Calibri" w:cs="Times New Roman"/>
        </w:rPr>
        <w:t>La progression des créances sur l’économie a porté sur les financements à moyen (+27.687,8 MBIF) et long termes (+15.887,9 MBIF). En revanche, les crédits à l’importation et à l’exportation ont diminué  de 578,9 et 8.498,4 MBIF respectivement.</w:t>
      </w:r>
    </w:p>
    <w:p w:rsidR="00742BFA" w:rsidRDefault="006C5B5F" w:rsidP="00742BFA">
      <w:pPr>
        <w:spacing w:after="240"/>
        <w:jc w:val="both"/>
        <w:rPr>
          <w:rFonts w:ascii="Calibri" w:eastAsia="Calibri" w:hAnsi="Calibri" w:cs="Times New Roman"/>
        </w:rPr>
      </w:pPr>
      <w:r w:rsidRPr="00A5405F">
        <w:rPr>
          <w:rFonts w:ascii="Calibri" w:eastAsia="Calibri" w:hAnsi="Calibri" w:cs="Times New Roman"/>
        </w:rPr>
        <w:t xml:space="preserve">Revenant de 16.202,5 à -16.228,7 MBIF, les avoirs extérieurs nets ont baissé de 32.431,2 MBIF, soit -200,2 p.c. Exprimées en dollars américains, les réserves de change nettes ont </w:t>
      </w:r>
      <w:r w:rsidRPr="00A5405F">
        <w:rPr>
          <w:rFonts w:ascii="Calibri" w:eastAsia="Calibri" w:hAnsi="Calibri" w:cs="Times New Roman"/>
        </w:rPr>
        <w:lastRenderedPageBreak/>
        <w:t xml:space="preserve">également chuté de 196,7 p.c., se fixant à -10,5 contre 10,9 millions de dollars à fin octobre 2012. </w:t>
      </w:r>
      <w:bookmarkStart w:id="17" w:name="_Toc375124049"/>
    </w:p>
    <w:p w:rsidR="00EF104B" w:rsidRPr="00742BFA" w:rsidRDefault="00EF104B" w:rsidP="00742BFA">
      <w:pPr>
        <w:spacing w:after="240"/>
        <w:jc w:val="both"/>
        <w:rPr>
          <w:b/>
          <w:color w:val="0070C0"/>
          <w:sz w:val="24"/>
          <w:szCs w:val="24"/>
        </w:rPr>
      </w:pPr>
      <w:r w:rsidRPr="00742BFA">
        <w:rPr>
          <w:b/>
          <w:color w:val="0070C0"/>
          <w:sz w:val="24"/>
          <w:szCs w:val="24"/>
        </w:rPr>
        <w:t>VI. COMMERCE EXTERIEUR</w:t>
      </w:r>
      <w:bookmarkEnd w:id="17"/>
    </w:p>
    <w:p w:rsidR="00C3504B" w:rsidRPr="00CE27AB" w:rsidRDefault="00C3504B" w:rsidP="00F37F70">
      <w:pPr>
        <w:pStyle w:val="Titre2"/>
        <w:spacing w:after="120"/>
        <w:rPr>
          <w:b w:val="0"/>
          <w:sz w:val="24"/>
          <w:szCs w:val="24"/>
        </w:rPr>
      </w:pPr>
      <w:bookmarkStart w:id="18" w:name="_Toc375124050"/>
      <w:r w:rsidRPr="00154AB4">
        <w:rPr>
          <w:color w:val="0070C0"/>
          <w:sz w:val="24"/>
          <w:szCs w:val="24"/>
        </w:rPr>
        <w:t>Exportations</w:t>
      </w:r>
      <w:bookmarkEnd w:id="18"/>
    </w:p>
    <w:p w:rsidR="00673AAE" w:rsidRPr="00CE27AB" w:rsidRDefault="00D862B3" w:rsidP="00154AB4">
      <w:pPr>
        <w:spacing w:after="120"/>
        <w:jc w:val="both"/>
        <w:rPr>
          <w:sz w:val="24"/>
          <w:szCs w:val="24"/>
          <w:lang w:val="fr-BE"/>
        </w:rPr>
      </w:pPr>
      <w:r>
        <w:rPr>
          <w:lang w:val="fr-BE"/>
        </w:rPr>
        <w:t>A fin o</w:t>
      </w:r>
      <w:r w:rsidR="00673AAE" w:rsidRPr="00CE27AB">
        <w:rPr>
          <w:lang w:val="fr-BE"/>
        </w:rPr>
        <w:t xml:space="preserve">ctobre 2013, les exportations </w:t>
      </w:r>
      <w:r w:rsidR="00673AAE" w:rsidRPr="00CE27AB">
        <w:rPr>
          <w:sz w:val="24"/>
          <w:szCs w:val="24"/>
          <w:lang w:val="fr-BE"/>
        </w:rPr>
        <w:t xml:space="preserve">ont régressé de </w:t>
      </w:r>
      <w:r w:rsidR="00020DB5" w:rsidRPr="00CE27AB">
        <w:rPr>
          <w:sz w:val="24"/>
          <w:szCs w:val="24"/>
          <w:lang w:val="fr-BE"/>
        </w:rPr>
        <w:t>28</w:t>
      </w:r>
      <w:r w:rsidR="00673AAE" w:rsidRPr="00CE27AB">
        <w:rPr>
          <w:sz w:val="24"/>
          <w:szCs w:val="24"/>
          <w:lang w:val="fr-BE"/>
        </w:rPr>
        <w:t xml:space="preserve">,5 p.c. en valeur, revenant de </w:t>
      </w:r>
      <w:r w:rsidR="00020DB5" w:rsidRPr="00CE27AB">
        <w:rPr>
          <w:sz w:val="24"/>
          <w:szCs w:val="24"/>
          <w:lang w:val="fr-BE"/>
        </w:rPr>
        <w:t>154.354,0</w:t>
      </w:r>
      <w:r w:rsidR="00673AAE" w:rsidRPr="00CE27AB">
        <w:rPr>
          <w:sz w:val="24"/>
          <w:szCs w:val="24"/>
          <w:lang w:val="fr-BE"/>
        </w:rPr>
        <w:t xml:space="preserve"> à </w:t>
      </w:r>
      <w:r w:rsidR="00020DB5" w:rsidRPr="00CE27AB">
        <w:rPr>
          <w:sz w:val="24"/>
          <w:szCs w:val="24"/>
          <w:lang w:val="fr-BE"/>
        </w:rPr>
        <w:t>110.373,6</w:t>
      </w:r>
      <w:r w:rsidR="00673AAE" w:rsidRPr="00CE27AB">
        <w:rPr>
          <w:sz w:val="24"/>
          <w:szCs w:val="24"/>
          <w:lang w:val="fr-BE"/>
        </w:rPr>
        <w:t xml:space="preserve"> MBIF alors qu’elles ont progressé</w:t>
      </w:r>
      <w:r w:rsidR="00020DB5" w:rsidRPr="00CE27AB">
        <w:rPr>
          <w:sz w:val="24"/>
          <w:szCs w:val="24"/>
          <w:lang w:val="fr-BE"/>
        </w:rPr>
        <w:t xml:space="preserve"> de </w:t>
      </w:r>
      <w:r w:rsidR="00673AAE" w:rsidRPr="00CE27AB">
        <w:rPr>
          <w:sz w:val="24"/>
          <w:szCs w:val="24"/>
          <w:lang w:val="fr-BE"/>
        </w:rPr>
        <w:t xml:space="preserve">8,5 p.c. en volume, s’établissant à </w:t>
      </w:r>
      <w:r w:rsidR="00A757E4" w:rsidRPr="00CE27AB">
        <w:rPr>
          <w:sz w:val="24"/>
          <w:szCs w:val="24"/>
          <w:lang w:val="fr-BE"/>
        </w:rPr>
        <w:t>44.083</w:t>
      </w:r>
      <w:r w:rsidR="00673AAE" w:rsidRPr="00CE27AB">
        <w:rPr>
          <w:sz w:val="24"/>
          <w:szCs w:val="24"/>
          <w:lang w:val="fr-BE"/>
        </w:rPr>
        <w:t xml:space="preserve"> contre </w:t>
      </w:r>
      <w:r w:rsidR="00A757E4" w:rsidRPr="00CE27AB">
        <w:rPr>
          <w:sz w:val="24"/>
          <w:szCs w:val="24"/>
          <w:lang w:val="fr-BE"/>
        </w:rPr>
        <w:t>40.642</w:t>
      </w:r>
      <w:r w:rsidR="00673AAE" w:rsidRPr="00CE27AB">
        <w:rPr>
          <w:sz w:val="24"/>
          <w:szCs w:val="24"/>
          <w:lang w:val="fr-BE"/>
        </w:rPr>
        <w:t xml:space="preserve"> T. </w:t>
      </w:r>
    </w:p>
    <w:p w:rsidR="00673AAE" w:rsidRPr="00CE27AB" w:rsidRDefault="00A757E4" w:rsidP="00154AB4">
      <w:pPr>
        <w:spacing w:after="120"/>
        <w:jc w:val="both"/>
        <w:rPr>
          <w:lang w:val="fr-BE"/>
        </w:rPr>
      </w:pPr>
      <w:r w:rsidRPr="00CE27AB">
        <w:rPr>
          <w:lang w:val="fr-BE"/>
        </w:rPr>
        <w:t>En valeur, la baisse</w:t>
      </w:r>
      <w:r w:rsidR="00673AAE" w:rsidRPr="00CE27AB">
        <w:rPr>
          <w:lang w:val="fr-BE"/>
        </w:rPr>
        <w:t xml:space="preserve"> a concerné </w:t>
      </w:r>
      <w:r w:rsidRPr="00CE27AB">
        <w:rPr>
          <w:lang w:val="fr-BE"/>
        </w:rPr>
        <w:t>essentiellement l</w:t>
      </w:r>
      <w:r w:rsidR="00673AAE" w:rsidRPr="00CE27AB">
        <w:rPr>
          <w:lang w:val="fr-BE"/>
        </w:rPr>
        <w:t>es produits primaires (</w:t>
      </w:r>
      <w:r w:rsidRPr="00CE27AB">
        <w:rPr>
          <w:lang w:val="fr-BE"/>
        </w:rPr>
        <w:t>78.890,1</w:t>
      </w:r>
      <w:r w:rsidR="00673AAE" w:rsidRPr="00CE27AB">
        <w:rPr>
          <w:lang w:val="fr-BE"/>
        </w:rPr>
        <w:t xml:space="preserve"> </w:t>
      </w:r>
      <w:r w:rsidRPr="00CE27AB">
        <w:rPr>
          <w:lang w:val="fr-BE"/>
        </w:rPr>
        <w:t>contre 138.924,2</w:t>
      </w:r>
      <w:r w:rsidR="00673AAE" w:rsidRPr="00CE27AB">
        <w:rPr>
          <w:lang w:val="fr-BE"/>
        </w:rPr>
        <w:t xml:space="preserve"> MBIF) surtout le café (</w:t>
      </w:r>
      <w:r w:rsidRPr="00CE27AB">
        <w:rPr>
          <w:lang w:val="fr-BE"/>
        </w:rPr>
        <w:t>32.603,6</w:t>
      </w:r>
      <w:r w:rsidR="00673AAE" w:rsidRPr="00CE27AB">
        <w:rPr>
          <w:lang w:val="fr-BE"/>
        </w:rPr>
        <w:t xml:space="preserve"> contre </w:t>
      </w:r>
      <w:r w:rsidRPr="00CE27AB">
        <w:rPr>
          <w:lang w:val="fr-BE"/>
        </w:rPr>
        <w:t>76.057,1 MBIF), les peaux brutes (</w:t>
      </w:r>
      <w:r w:rsidR="00673AAE" w:rsidRPr="00CE27AB">
        <w:rPr>
          <w:lang w:val="fr-BE"/>
        </w:rPr>
        <w:t>2</w:t>
      </w:r>
      <w:r w:rsidRPr="00CE27AB">
        <w:rPr>
          <w:lang w:val="fr-BE"/>
        </w:rPr>
        <w:t>.833,0</w:t>
      </w:r>
      <w:r w:rsidR="00673AAE" w:rsidRPr="00CE27AB">
        <w:rPr>
          <w:lang w:val="fr-BE"/>
        </w:rPr>
        <w:t xml:space="preserve"> contre </w:t>
      </w:r>
      <w:r w:rsidRPr="00CE27AB">
        <w:rPr>
          <w:lang w:val="fr-BE"/>
        </w:rPr>
        <w:t>8.021,6</w:t>
      </w:r>
      <w:r w:rsidR="00673AAE" w:rsidRPr="00CE27AB">
        <w:rPr>
          <w:lang w:val="fr-BE"/>
        </w:rPr>
        <w:t xml:space="preserve"> MBIF)</w:t>
      </w:r>
      <w:r w:rsidRPr="00CE27AB">
        <w:rPr>
          <w:lang w:val="fr-BE"/>
        </w:rPr>
        <w:t>, le thé (29.049,2 contre 31.608,9 MBIF)</w:t>
      </w:r>
      <w:r w:rsidR="00673AAE" w:rsidRPr="00CE27AB">
        <w:rPr>
          <w:lang w:val="fr-BE"/>
        </w:rPr>
        <w:t xml:space="preserve"> et </w:t>
      </w:r>
      <w:r w:rsidRPr="00CE27AB">
        <w:rPr>
          <w:lang w:val="fr-BE"/>
        </w:rPr>
        <w:t>les autres produits primaires (8.601,0</w:t>
      </w:r>
      <w:r w:rsidR="00673AAE" w:rsidRPr="00CE27AB">
        <w:rPr>
          <w:lang w:val="fr-BE"/>
        </w:rPr>
        <w:t xml:space="preserve"> contre </w:t>
      </w:r>
      <w:r w:rsidRPr="00CE27AB">
        <w:rPr>
          <w:lang w:val="fr-BE"/>
        </w:rPr>
        <w:t>21.033,4</w:t>
      </w:r>
      <w:r w:rsidR="00673AAE" w:rsidRPr="00CE27AB">
        <w:rPr>
          <w:lang w:val="fr-BE"/>
        </w:rPr>
        <w:t xml:space="preserve"> MBIF).</w:t>
      </w:r>
    </w:p>
    <w:p w:rsidR="00673AAE" w:rsidRPr="00CE27AB" w:rsidRDefault="00673AAE" w:rsidP="00154AB4">
      <w:pPr>
        <w:spacing w:after="120"/>
        <w:jc w:val="both"/>
        <w:rPr>
          <w:sz w:val="24"/>
          <w:szCs w:val="24"/>
          <w:lang w:val="fr-BE"/>
        </w:rPr>
      </w:pPr>
      <w:r w:rsidRPr="00CE27AB">
        <w:rPr>
          <w:sz w:val="24"/>
          <w:szCs w:val="24"/>
          <w:lang w:val="fr-BE"/>
        </w:rPr>
        <w:t>En volume, la hausse est principalement liée à l’augmentation de quantités exportées des produits manufacturés (</w:t>
      </w:r>
      <w:r w:rsidR="005F737F" w:rsidRPr="00CE27AB">
        <w:rPr>
          <w:sz w:val="24"/>
          <w:szCs w:val="24"/>
          <w:lang w:val="fr-BE"/>
        </w:rPr>
        <w:t>20.747 contre 11.121</w:t>
      </w:r>
      <w:r w:rsidRPr="00CE27AB">
        <w:rPr>
          <w:sz w:val="24"/>
          <w:szCs w:val="24"/>
          <w:lang w:val="fr-BE"/>
        </w:rPr>
        <w:t xml:space="preserve"> T) notamment les savons (</w:t>
      </w:r>
      <w:r w:rsidR="005F737F" w:rsidRPr="00CE27AB">
        <w:rPr>
          <w:sz w:val="24"/>
          <w:szCs w:val="24"/>
          <w:lang w:val="fr-BE"/>
        </w:rPr>
        <w:t xml:space="preserve">6.885 </w:t>
      </w:r>
      <w:r w:rsidRPr="00CE27AB">
        <w:rPr>
          <w:sz w:val="24"/>
          <w:szCs w:val="24"/>
          <w:lang w:val="fr-BE"/>
        </w:rPr>
        <w:t xml:space="preserve">contre </w:t>
      </w:r>
      <w:r w:rsidR="005F737F" w:rsidRPr="00CE27AB">
        <w:rPr>
          <w:sz w:val="24"/>
          <w:szCs w:val="24"/>
          <w:lang w:val="fr-BE"/>
        </w:rPr>
        <w:t>4.50</w:t>
      </w:r>
      <w:r w:rsidRPr="00CE27AB">
        <w:rPr>
          <w:sz w:val="24"/>
          <w:szCs w:val="24"/>
          <w:lang w:val="fr-BE"/>
        </w:rPr>
        <w:t>1 T)</w:t>
      </w:r>
      <w:r w:rsidR="005F737F" w:rsidRPr="00CE27AB">
        <w:rPr>
          <w:sz w:val="24"/>
          <w:szCs w:val="24"/>
          <w:lang w:val="fr-BE"/>
        </w:rPr>
        <w:t xml:space="preserve">, </w:t>
      </w:r>
      <w:r w:rsidRPr="00CE27AB">
        <w:rPr>
          <w:sz w:val="24"/>
          <w:szCs w:val="24"/>
          <w:lang w:val="fr-BE"/>
        </w:rPr>
        <w:t>les autres produits manufacturés (</w:t>
      </w:r>
      <w:r w:rsidR="00236F96">
        <w:rPr>
          <w:sz w:val="24"/>
          <w:szCs w:val="24"/>
          <w:lang w:val="fr-BE"/>
        </w:rPr>
        <w:t>8.680</w:t>
      </w:r>
      <w:r w:rsidR="005F737F" w:rsidRPr="00CE27AB">
        <w:rPr>
          <w:sz w:val="24"/>
          <w:szCs w:val="24"/>
          <w:lang w:val="fr-BE"/>
        </w:rPr>
        <w:t xml:space="preserve"> contre </w:t>
      </w:r>
      <w:r w:rsidR="00236F96">
        <w:rPr>
          <w:sz w:val="24"/>
          <w:szCs w:val="24"/>
          <w:lang w:val="fr-BE"/>
        </w:rPr>
        <w:t>1.915</w:t>
      </w:r>
      <w:r w:rsidR="009549C3">
        <w:rPr>
          <w:sz w:val="24"/>
          <w:szCs w:val="24"/>
          <w:lang w:val="fr-BE"/>
        </w:rPr>
        <w:t xml:space="preserve"> T) ainsi que les</w:t>
      </w:r>
      <w:r w:rsidR="005F737F" w:rsidRPr="00CE27AB">
        <w:rPr>
          <w:sz w:val="24"/>
          <w:szCs w:val="24"/>
          <w:lang w:val="fr-BE"/>
        </w:rPr>
        <w:t xml:space="preserve"> réexportations (303 contre 64 T). </w:t>
      </w:r>
      <w:r w:rsidRPr="00CE27AB">
        <w:rPr>
          <w:sz w:val="24"/>
          <w:szCs w:val="24"/>
          <w:lang w:val="fr-BE"/>
        </w:rPr>
        <w:t xml:space="preserve"> </w:t>
      </w:r>
    </w:p>
    <w:p w:rsidR="00673AAE" w:rsidRPr="00CE27AB" w:rsidRDefault="007E0ED3" w:rsidP="00154AB4">
      <w:pPr>
        <w:spacing w:after="120"/>
        <w:jc w:val="both"/>
        <w:rPr>
          <w:sz w:val="24"/>
          <w:szCs w:val="24"/>
          <w:lang w:val="fr-BE"/>
        </w:rPr>
      </w:pPr>
      <w:r w:rsidRPr="00CE27AB">
        <w:rPr>
          <w:sz w:val="24"/>
          <w:szCs w:val="24"/>
          <w:lang w:val="fr-BE"/>
        </w:rPr>
        <w:t>En revanche, p</w:t>
      </w:r>
      <w:r w:rsidR="00673AAE" w:rsidRPr="00CE27AB">
        <w:rPr>
          <w:sz w:val="24"/>
          <w:szCs w:val="24"/>
          <w:lang w:val="fr-BE"/>
        </w:rPr>
        <w:t>ar rapport au mois pr</w:t>
      </w:r>
      <w:r w:rsidRPr="00CE27AB">
        <w:rPr>
          <w:sz w:val="24"/>
          <w:szCs w:val="24"/>
          <w:lang w:val="fr-BE"/>
        </w:rPr>
        <w:t>écédent, les exportations d’octobre</w:t>
      </w:r>
      <w:r w:rsidR="00673AAE" w:rsidRPr="00CE27AB">
        <w:rPr>
          <w:sz w:val="24"/>
          <w:szCs w:val="24"/>
          <w:lang w:val="fr-BE"/>
        </w:rPr>
        <w:t xml:space="preserve"> 2013 se sont </w:t>
      </w:r>
      <w:r w:rsidRPr="00CE27AB">
        <w:rPr>
          <w:sz w:val="24"/>
          <w:szCs w:val="24"/>
          <w:lang w:val="fr-BE"/>
        </w:rPr>
        <w:t>accrues</w:t>
      </w:r>
      <w:r w:rsidR="00673AAE" w:rsidRPr="00CE27AB">
        <w:rPr>
          <w:sz w:val="24"/>
          <w:szCs w:val="24"/>
          <w:lang w:val="fr-BE"/>
        </w:rPr>
        <w:t xml:space="preserve"> </w:t>
      </w:r>
      <w:r w:rsidR="0011251D">
        <w:rPr>
          <w:sz w:val="24"/>
          <w:szCs w:val="24"/>
          <w:lang w:val="fr-BE"/>
        </w:rPr>
        <w:t xml:space="preserve">tant en volume qu’en </w:t>
      </w:r>
      <w:r w:rsidR="00673AAE" w:rsidRPr="00CE27AB">
        <w:rPr>
          <w:sz w:val="24"/>
          <w:szCs w:val="24"/>
          <w:lang w:val="fr-BE"/>
        </w:rPr>
        <w:t>valeur,</w:t>
      </w:r>
      <w:r w:rsidRPr="00CE27AB">
        <w:rPr>
          <w:sz w:val="24"/>
          <w:szCs w:val="24"/>
          <w:lang w:val="fr-BE"/>
        </w:rPr>
        <w:t xml:space="preserve"> passant</w:t>
      </w:r>
      <w:r w:rsidR="0011251D">
        <w:rPr>
          <w:sz w:val="24"/>
          <w:szCs w:val="24"/>
          <w:lang w:val="fr-BE"/>
        </w:rPr>
        <w:t xml:space="preserve"> respectivement de 5.660 à 7.257 T et </w:t>
      </w:r>
      <w:r w:rsidRPr="00CE27AB">
        <w:rPr>
          <w:sz w:val="24"/>
          <w:szCs w:val="24"/>
          <w:lang w:val="fr-BE"/>
        </w:rPr>
        <w:t xml:space="preserve">de </w:t>
      </w:r>
      <w:r w:rsidR="0011251D">
        <w:rPr>
          <w:sz w:val="24"/>
          <w:szCs w:val="24"/>
          <w:lang w:val="fr-BE"/>
        </w:rPr>
        <w:t>14.111,4</w:t>
      </w:r>
      <w:r w:rsidR="00673AAE" w:rsidRPr="00CE27AB">
        <w:rPr>
          <w:sz w:val="24"/>
          <w:szCs w:val="24"/>
          <w:lang w:val="fr-BE"/>
        </w:rPr>
        <w:t xml:space="preserve"> à </w:t>
      </w:r>
      <w:r w:rsidRPr="00CE27AB">
        <w:rPr>
          <w:sz w:val="24"/>
          <w:szCs w:val="24"/>
          <w:lang w:val="fr-BE"/>
        </w:rPr>
        <w:t>1</w:t>
      </w:r>
      <w:r w:rsidR="0011251D">
        <w:rPr>
          <w:sz w:val="24"/>
          <w:szCs w:val="24"/>
          <w:lang w:val="fr-BE"/>
        </w:rPr>
        <w:t>5.950</w:t>
      </w:r>
      <w:r w:rsidRPr="00CE27AB">
        <w:rPr>
          <w:sz w:val="24"/>
          <w:szCs w:val="24"/>
          <w:lang w:val="fr-BE"/>
        </w:rPr>
        <w:t>,</w:t>
      </w:r>
      <w:r w:rsidR="00E241E9">
        <w:rPr>
          <w:sz w:val="24"/>
          <w:szCs w:val="24"/>
          <w:lang w:val="fr-BE"/>
        </w:rPr>
        <w:t>5</w:t>
      </w:r>
      <w:r w:rsidRPr="00CE27AB">
        <w:rPr>
          <w:sz w:val="24"/>
          <w:szCs w:val="24"/>
          <w:lang w:val="fr-BE"/>
        </w:rPr>
        <w:t xml:space="preserve"> </w:t>
      </w:r>
      <w:r w:rsidR="0011251D">
        <w:rPr>
          <w:sz w:val="24"/>
          <w:szCs w:val="24"/>
          <w:lang w:val="fr-BE"/>
        </w:rPr>
        <w:t>MBIF.</w:t>
      </w:r>
    </w:p>
    <w:p w:rsidR="001F0B69" w:rsidRPr="00F37F70" w:rsidRDefault="00FC51D8" w:rsidP="00F37F70">
      <w:pPr>
        <w:pStyle w:val="Titre2"/>
        <w:spacing w:after="120"/>
        <w:rPr>
          <w:rFonts w:ascii="Calibri" w:hAnsi="Calibri"/>
          <w:color w:val="0070C0"/>
          <w:sz w:val="24"/>
          <w:szCs w:val="24"/>
        </w:rPr>
      </w:pPr>
      <w:bookmarkStart w:id="19" w:name="_Toc375124051"/>
      <w:r w:rsidRPr="00F37F70">
        <w:rPr>
          <w:rFonts w:ascii="Calibri" w:hAnsi="Calibri"/>
          <w:color w:val="0070C0"/>
          <w:sz w:val="24"/>
          <w:szCs w:val="24"/>
        </w:rPr>
        <w:t>Importations</w:t>
      </w:r>
      <w:bookmarkEnd w:id="19"/>
    </w:p>
    <w:p w:rsidR="00D74137" w:rsidRPr="00CE27AB" w:rsidRDefault="00D74137" w:rsidP="00154AB4">
      <w:pPr>
        <w:spacing w:after="120"/>
        <w:jc w:val="both"/>
        <w:rPr>
          <w:sz w:val="24"/>
          <w:szCs w:val="24"/>
          <w:lang w:val="fr-BE"/>
        </w:rPr>
      </w:pPr>
      <w:r w:rsidRPr="00CE27AB">
        <w:rPr>
          <w:sz w:val="24"/>
          <w:szCs w:val="24"/>
          <w:lang w:val="fr-BE"/>
        </w:rPr>
        <w:t xml:space="preserve">A fin </w:t>
      </w:r>
      <w:r w:rsidR="00DA12A9" w:rsidRPr="00CE27AB">
        <w:rPr>
          <w:sz w:val="24"/>
          <w:szCs w:val="24"/>
          <w:lang w:val="fr-BE"/>
        </w:rPr>
        <w:t>octobre</w:t>
      </w:r>
      <w:r w:rsidRPr="00CE27AB">
        <w:rPr>
          <w:sz w:val="24"/>
          <w:szCs w:val="24"/>
          <w:lang w:val="fr-BE"/>
        </w:rPr>
        <w:t xml:space="preserve"> 2013, les mises en consommation cumulées ont progressé de </w:t>
      </w:r>
      <w:r w:rsidR="00C1489C">
        <w:rPr>
          <w:sz w:val="24"/>
          <w:szCs w:val="24"/>
          <w:lang w:val="fr-BE"/>
        </w:rPr>
        <w:t>19,5</w:t>
      </w:r>
      <w:r w:rsidRPr="00CE27AB">
        <w:rPr>
          <w:sz w:val="24"/>
          <w:szCs w:val="24"/>
          <w:lang w:val="fr-BE"/>
        </w:rPr>
        <w:t xml:space="preserve"> p.c. en valeur (</w:t>
      </w:r>
      <w:r w:rsidR="00DA12A9" w:rsidRPr="00CE27AB">
        <w:rPr>
          <w:sz w:val="24"/>
          <w:szCs w:val="24"/>
          <w:lang w:val="fr-BE"/>
        </w:rPr>
        <w:t xml:space="preserve">1.057.175,2 </w:t>
      </w:r>
      <w:r w:rsidRPr="00CE27AB">
        <w:rPr>
          <w:sz w:val="24"/>
          <w:szCs w:val="24"/>
          <w:lang w:val="fr-BE"/>
        </w:rPr>
        <w:t xml:space="preserve">contre </w:t>
      </w:r>
      <w:r w:rsidR="00C1489C">
        <w:rPr>
          <w:sz w:val="24"/>
          <w:szCs w:val="24"/>
          <w:lang w:val="fr-BE"/>
        </w:rPr>
        <w:t>884.628,1</w:t>
      </w:r>
      <w:r w:rsidRPr="00CE27AB">
        <w:rPr>
          <w:sz w:val="24"/>
          <w:szCs w:val="24"/>
          <w:lang w:val="fr-BE"/>
        </w:rPr>
        <w:t xml:space="preserve"> MBIF)  et de </w:t>
      </w:r>
      <w:r w:rsidR="00C1489C">
        <w:rPr>
          <w:sz w:val="24"/>
          <w:szCs w:val="24"/>
          <w:lang w:val="fr-BE"/>
        </w:rPr>
        <w:t>7,8</w:t>
      </w:r>
      <w:r w:rsidRPr="00CE27AB">
        <w:rPr>
          <w:sz w:val="24"/>
          <w:szCs w:val="24"/>
          <w:lang w:val="fr-BE"/>
        </w:rPr>
        <w:t xml:space="preserve"> p.c. en volume (</w:t>
      </w:r>
      <w:r w:rsidR="00DA12A9" w:rsidRPr="00CE27AB">
        <w:rPr>
          <w:sz w:val="24"/>
          <w:szCs w:val="24"/>
          <w:lang w:val="fr-BE"/>
        </w:rPr>
        <w:t>610.697</w:t>
      </w:r>
      <w:r w:rsidRPr="00CE27AB">
        <w:rPr>
          <w:sz w:val="24"/>
          <w:szCs w:val="24"/>
          <w:lang w:val="fr-BE"/>
        </w:rPr>
        <w:t xml:space="preserve"> contre </w:t>
      </w:r>
      <w:r w:rsidR="00C1489C">
        <w:rPr>
          <w:sz w:val="24"/>
          <w:szCs w:val="24"/>
          <w:lang w:val="fr-BE"/>
        </w:rPr>
        <w:t>566.402</w:t>
      </w:r>
      <w:r w:rsidRPr="00CE27AB">
        <w:rPr>
          <w:sz w:val="24"/>
          <w:szCs w:val="24"/>
          <w:lang w:val="fr-BE"/>
        </w:rPr>
        <w:t xml:space="preserve"> T), en liaison </w:t>
      </w:r>
      <w:r w:rsidRPr="00CE27AB">
        <w:rPr>
          <w:sz w:val="24"/>
          <w:szCs w:val="24"/>
          <w:lang w:val="fr-BE"/>
        </w:rPr>
        <w:lastRenderedPageBreak/>
        <w:t>avec l’augmentation d</w:t>
      </w:r>
      <w:r w:rsidR="00E241E9">
        <w:rPr>
          <w:sz w:val="24"/>
          <w:szCs w:val="24"/>
          <w:lang w:val="fr-BE"/>
        </w:rPr>
        <w:t xml:space="preserve">es </w:t>
      </w:r>
      <w:r w:rsidRPr="00CE27AB">
        <w:rPr>
          <w:sz w:val="24"/>
          <w:szCs w:val="24"/>
          <w:lang w:val="fr-BE"/>
        </w:rPr>
        <w:t>importation</w:t>
      </w:r>
      <w:r w:rsidR="00E241E9">
        <w:rPr>
          <w:sz w:val="24"/>
          <w:szCs w:val="24"/>
          <w:lang w:val="fr-BE"/>
        </w:rPr>
        <w:t>s</w:t>
      </w:r>
      <w:r w:rsidRPr="00CE27AB">
        <w:rPr>
          <w:sz w:val="24"/>
          <w:szCs w:val="24"/>
          <w:lang w:val="fr-BE"/>
        </w:rPr>
        <w:t xml:space="preserve"> des biens de production (</w:t>
      </w:r>
      <w:r w:rsidR="005C27E8" w:rsidRPr="00CE27AB">
        <w:rPr>
          <w:sz w:val="24"/>
          <w:szCs w:val="24"/>
          <w:lang w:val="fr-BE"/>
        </w:rPr>
        <w:t>454.718,8</w:t>
      </w:r>
      <w:r w:rsidRPr="00CE27AB">
        <w:rPr>
          <w:sz w:val="24"/>
          <w:szCs w:val="24"/>
          <w:lang w:val="fr-BE"/>
        </w:rPr>
        <w:t xml:space="preserve"> contre </w:t>
      </w:r>
      <w:r w:rsidR="00086AE6">
        <w:rPr>
          <w:sz w:val="24"/>
          <w:szCs w:val="24"/>
          <w:lang w:val="fr-BE"/>
        </w:rPr>
        <w:t>41</w:t>
      </w:r>
      <w:r w:rsidR="000372C7">
        <w:rPr>
          <w:sz w:val="24"/>
          <w:szCs w:val="24"/>
          <w:lang w:val="fr-BE"/>
        </w:rPr>
        <w:t>0</w:t>
      </w:r>
      <w:r w:rsidR="00086AE6">
        <w:rPr>
          <w:sz w:val="24"/>
          <w:szCs w:val="24"/>
          <w:lang w:val="fr-BE"/>
        </w:rPr>
        <w:t>.376,0</w:t>
      </w:r>
      <w:r w:rsidRPr="00CE27AB">
        <w:rPr>
          <w:sz w:val="24"/>
          <w:szCs w:val="24"/>
          <w:lang w:val="fr-BE"/>
        </w:rPr>
        <w:t xml:space="preserve"> MBIF et </w:t>
      </w:r>
      <w:r w:rsidR="005C27E8" w:rsidRPr="00CE27AB">
        <w:rPr>
          <w:sz w:val="24"/>
          <w:szCs w:val="24"/>
          <w:lang w:val="fr-BE"/>
        </w:rPr>
        <w:t>435.143</w:t>
      </w:r>
      <w:r w:rsidRPr="00CE27AB">
        <w:rPr>
          <w:sz w:val="24"/>
          <w:szCs w:val="24"/>
          <w:lang w:val="fr-BE"/>
        </w:rPr>
        <w:t xml:space="preserve"> contre </w:t>
      </w:r>
      <w:r w:rsidR="00154AB4">
        <w:rPr>
          <w:sz w:val="24"/>
          <w:szCs w:val="24"/>
          <w:lang w:val="fr-BE"/>
        </w:rPr>
        <w:t xml:space="preserve">    </w:t>
      </w:r>
      <w:r w:rsidR="005C27E8" w:rsidRPr="00CE27AB">
        <w:rPr>
          <w:sz w:val="24"/>
          <w:szCs w:val="24"/>
          <w:lang w:val="fr-BE"/>
        </w:rPr>
        <w:t>3</w:t>
      </w:r>
      <w:r w:rsidR="00086AE6">
        <w:rPr>
          <w:sz w:val="24"/>
          <w:szCs w:val="24"/>
          <w:lang w:val="fr-BE"/>
        </w:rPr>
        <w:t>93.673</w:t>
      </w:r>
      <w:r w:rsidRPr="00CE27AB">
        <w:rPr>
          <w:sz w:val="24"/>
          <w:szCs w:val="24"/>
          <w:lang w:val="fr-BE"/>
        </w:rPr>
        <w:t xml:space="preserve"> T), d’équipement (</w:t>
      </w:r>
      <w:r w:rsidR="005C27E8" w:rsidRPr="00CE27AB">
        <w:rPr>
          <w:sz w:val="24"/>
          <w:szCs w:val="24"/>
          <w:lang w:val="fr-BE"/>
        </w:rPr>
        <w:t>279.682,0</w:t>
      </w:r>
      <w:r w:rsidRPr="00CE27AB">
        <w:rPr>
          <w:sz w:val="24"/>
          <w:szCs w:val="24"/>
          <w:lang w:val="fr-BE"/>
        </w:rPr>
        <w:t xml:space="preserve"> contre </w:t>
      </w:r>
      <w:r w:rsidR="00086AE6">
        <w:rPr>
          <w:sz w:val="24"/>
          <w:szCs w:val="24"/>
          <w:lang w:val="fr-BE"/>
        </w:rPr>
        <w:t>190.659,0</w:t>
      </w:r>
      <w:r w:rsidR="00737F5B" w:rsidRPr="00CE27AB">
        <w:rPr>
          <w:sz w:val="24"/>
          <w:szCs w:val="24"/>
          <w:lang w:val="fr-BE"/>
        </w:rPr>
        <w:t xml:space="preserve"> MBIF</w:t>
      </w:r>
      <w:r w:rsidRPr="00CE27AB">
        <w:rPr>
          <w:sz w:val="24"/>
          <w:szCs w:val="24"/>
          <w:lang w:val="fr-BE"/>
        </w:rPr>
        <w:t>) et de consommation (</w:t>
      </w:r>
      <w:r w:rsidR="007D58B7" w:rsidRPr="00CE27AB">
        <w:rPr>
          <w:sz w:val="24"/>
          <w:szCs w:val="24"/>
          <w:lang w:val="fr-BE"/>
        </w:rPr>
        <w:t>322.774,4</w:t>
      </w:r>
      <w:r w:rsidRPr="00CE27AB">
        <w:rPr>
          <w:sz w:val="24"/>
          <w:szCs w:val="24"/>
          <w:lang w:val="fr-BE"/>
        </w:rPr>
        <w:t xml:space="preserve"> contre </w:t>
      </w:r>
      <w:r w:rsidR="007D58B7" w:rsidRPr="00CE27AB">
        <w:rPr>
          <w:sz w:val="24"/>
          <w:szCs w:val="24"/>
          <w:lang w:val="fr-BE"/>
        </w:rPr>
        <w:t>2</w:t>
      </w:r>
      <w:r w:rsidR="00831572">
        <w:rPr>
          <w:sz w:val="24"/>
          <w:szCs w:val="24"/>
          <w:lang w:val="fr-BE"/>
        </w:rPr>
        <w:t>83.593,1</w:t>
      </w:r>
      <w:r w:rsidRPr="00CE27AB">
        <w:rPr>
          <w:sz w:val="24"/>
          <w:szCs w:val="24"/>
          <w:lang w:val="fr-BE"/>
        </w:rPr>
        <w:t xml:space="preserve"> MBIF et </w:t>
      </w:r>
      <w:r w:rsidR="008510BD" w:rsidRPr="00CE27AB">
        <w:rPr>
          <w:sz w:val="24"/>
          <w:szCs w:val="24"/>
          <w:lang w:val="fr-BE"/>
        </w:rPr>
        <w:t>153.129</w:t>
      </w:r>
      <w:r w:rsidRPr="00CE27AB">
        <w:rPr>
          <w:sz w:val="24"/>
          <w:szCs w:val="24"/>
          <w:lang w:val="fr-BE"/>
        </w:rPr>
        <w:t xml:space="preserve"> contre </w:t>
      </w:r>
      <w:r w:rsidR="00154AB4">
        <w:rPr>
          <w:sz w:val="24"/>
          <w:szCs w:val="24"/>
          <w:lang w:val="fr-BE"/>
        </w:rPr>
        <w:t xml:space="preserve">  </w:t>
      </w:r>
      <w:r w:rsidR="00831572">
        <w:rPr>
          <w:sz w:val="24"/>
          <w:szCs w:val="24"/>
          <w:lang w:val="fr-BE"/>
        </w:rPr>
        <w:t>147.747</w:t>
      </w:r>
      <w:r w:rsidRPr="00CE27AB">
        <w:rPr>
          <w:sz w:val="24"/>
          <w:szCs w:val="24"/>
          <w:lang w:val="fr-BE"/>
        </w:rPr>
        <w:t xml:space="preserve"> T).</w:t>
      </w:r>
    </w:p>
    <w:p w:rsidR="00DE760D" w:rsidRPr="00CE27AB" w:rsidRDefault="00DE760D" w:rsidP="00154AB4">
      <w:pPr>
        <w:spacing w:after="120"/>
        <w:jc w:val="both"/>
        <w:rPr>
          <w:sz w:val="24"/>
          <w:szCs w:val="24"/>
          <w:lang w:val="fr-BE"/>
        </w:rPr>
      </w:pPr>
      <w:r w:rsidRPr="00CE27AB">
        <w:rPr>
          <w:sz w:val="24"/>
          <w:szCs w:val="24"/>
          <w:lang w:val="fr-BE"/>
        </w:rPr>
        <w:t>L’augmentation des importations des biens de production a porté principalement sur l’importation des biens destinés à la métallurgie (</w:t>
      </w:r>
      <w:r w:rsidR="002A01B0" w:rsidRPr="00CE27AB">
        <w:rPr>
          <w:sz w:val="24"/>
          <w:szCs w:val="24"/>
          <w:lang w:val="fr-BE"/>
        </w:rPr>
        <w:t>45.413,6</w:t>
      </w:r>
      <w:r w:rsidRPr="00CE27AB">
        <w:rPr>
          <w:sz w:val="24"/>
          <w:szCs w:val="24"/>
          <w:lang w:val="fr-BE"/>
        </w:rPr>
        <w:t xml:space="preserve"> contre </w:t>
      </w:r>
      <w:r w:rsidR="00831572">
        <w:rPr>
          <w:sz w:val="24"/>
          <w:szCs w:val="24"/>
          <w:lang w:val="fr-BE"/>
        </w:rPr>
        <w:t>42.715,5</w:t>
      </w:r>
      <w:r w:rsidRPr="00CE27AB">
        <w:rPr>
          <w:sz w:val="24"/>
          <w:szCs w:val="24"/>
          <w:lang w:val="fr-BE"/>
        </w:rPr>
        <w:t xml:space="preserve"> MBIF et</w:t>
      </w:r>
      <w:r w:rsidR="002A01B0" w:rsidRPr="00CE27AB">
        <w:rPr>
          <w:sz w:val="24"/>
          <w:szCs w:val="24"/>
          <w:lang w:val="fr-BE"/>
        </w:rPr>
        <w:t xml:space="preserve"> 33.811</w:t>
      </w:r>
      <w:r w:rsidRPr="00CE27AB">
        <w:rPr>
          <w:sz w:val="24"/>
          <w:szCs w:val="24"/>
          <w:lang w:val="fr-BE"/>
        </w:rPr>
        <w:t xml:space="preserve"> contre </w:t>
      </w:r>
      <w:r w:rsidR="002A01B0" w:rsidRPr="00CE27AB">
        <w:rPr>
          <w:sz w:val="24"/>
          <w:szCs w:val="24"/>
          <w:lang w:val="fr-BE"/>
        </w:rPr>
        <w:t>25.422</w:t>
      </w:r>
      <w:r w:rsidRPr="00CE27AB">
        <w:rPr>
          <w:sz w:val="24"/>
          <w:szCs w:val="24"/>
          <w:lang w:val="fr-BE"/>
        </w:rPr>
        <w:t xml:space="preserve"> T), à l’agriculture et à l’élevage (</w:t>
      </w:r>
      <w:r w:rsidR="002A01B0" w:rsidRPr="00CE27AB">
        <w:rPr>
          <w:sz w:val="24"/>
          <w:szCs w:val="24"/>
          <w:lang w:val="fr-BE"/>
        </w:rPr>
        <w:t>38.852,8</w:t>
      </w:r>
      <w:r w:rsidRPr="00CE27AB">
        <w:rPr>
          <w:sz w:val="24"/>
          <w:szCs w:val="24"/>
          <w:lang w:val="fr-BE"/>
        </w:rPr>
        <w:t xml:space="preserve"> contre </w:t>
      </w:r>
      <w:r w:rsidR="002A01B0" w:rsidRPr="00CE27AB">
        <w:rPr>
          <w:sz w:val="24"/>
          <w:szCs w:val="24"/>
          <w:lang w:val="fr-BE"/>
        </w:rPr>
        <w:t>21.298,3</w:t>
      </w:r>
      <w:r w:rsidRPr="00CE27AB">
        <w:rPr>
          <w:sz w:val="24"/>
          <w:szCs w:val="24"/>
          <w:lang w:val="fr-BE"/>
        </w:rPr>
        <w:t xml:space="preserve"> MBIF et </w:t>
      </w:r>
      <w:r w:rsidR="002A01B0" w:rsidRPr="00CE27AB">
        <w:rPr>
          <w:sz w:val="24"/>
          <w:szCs w:val="24"/>
          <w:lang w:val="fr-BE"/>
        </w:rPr>
        <w:t>32.473</w:t>
      </w:r>
      <w:r w:rsidRPr="00CE27AB">
        <w:rPr>
          <w:sz w:val="24"/>
          <w:szCs w:val="24"/>
          <w:lang w:val="fr-BE"/>
        </w:rPr>
        <w:t xml:space="preserve"> contre </w:t>
      </w:r>
      <w:r w:rsidR="00831572">
        <w:rPr>
          <w:sz w:val="24"/>
          <w:szCs w:val="24"/>
          <w:lang w:val="fr-BE"/>
        </w:rPr>
        <w:t>19.908</w:t>
      </w:r>
      <w:r w:rsidRPr="00CE27AB">
        <w:rPr>
          <w:sz w:val="24"/>
          <w:szCs w:val="24"/>
          <w:lang w:val="fr-BE"/>
        </w:rPr>
        <w:t xml:space="preserve"> T), des huiles minérales (</w:t>
      </w:r>
      <w:r w:rsidR="002A01B0" w:rsidRPr="00CE27AB">
        <w:rPr>
          <w:sz w:val="24"/>
          <w:szCs w:val="24"/>
          <w:lang w:val="fr-BE"/>
        </w:rPr>
        <w:t>217.860,7</w:t>
      </w:r>
      <w:r w:rsidRPr="00CE27AB">
        <w:rPr>
          <w:sz w:val="24"/>
          <w:szCs w:val="24"/>
          <w:lang w:val="fr-BE"/>
        </w:rPr>
        <w:t xml:space="preserve"> contre </w:t>
      </w:r>
      <w:r w:rsidR="00831572">
        <w:rPr>
          <w:sz w:val="24"/>
          <w:szCs w:val="24"/>
          <w:lang w:val="fr-BE"/>
        </w:rPr>
        <w:t>165.617,6</w:t>
      </w:r>
      <w:r w:rsidRPr="00CE27AB">
        <w:rPr>
          <w:sz w:val="24"/>
          <w:szCs w:val="24"/>
          <w:lang w:val="fr-BE"/>
        </w:rPr>
        <w:t xml:space="preserve"> MBIF et </w:t>
      </w:r>
      <w:r w:rsidR="002A01B0" w:rsidRPr="00CE27AB">
        <w:rPr>
          <w:sz w:val="24"/>
          <w:szCs w:val="24"/>
          <w:lang w:val="fr-BE"/>
        </w:rPr>
        <w:t>107.298</w:t>
      </w:r>
      <w:r w:rsidRPr="00CE27AB">
        <w:rPr>
          <w:sz w:val="24"/>
          <w:szCs w:val="24"/>
          <w:lang w:val="fr-BE"/>
        </w:rPr>
        <w:t xml:space="preserve"> contre </w:t>
      </w:r>
      <w:r w:rsidR="00831572">
        <w:rPr>
          <w:sz w:val="24"/>
          <w:szCs w:val="24"/>
          <w:lang w:val="fr-BE"/>
        </w:rPr>
        <w:t>89.818</w:t>
      </w:r>
      <w:r w:rsidRPr="00CE27AB">
        <w:rPr>
          <w:sz w:val="24"/>
          <w:szCs w:val="24"/>
          <w:lang w:val="fr-BE"/>
        </w:rPr>
        <w:t xml:space="preserve"> T) et des autres biens de production (</w:t>
      </w:r>
      <w:r w:rsidR="002A01B0" w:rsidRPr="00CE27AB">
        <w:rPr>
          <w:sz w:val="24"/>
          <w:szCs w:val="24"/>
          <w:lang w:val="fr-BE"/>
        </w:rPr>
        <w:t>30.569,0</w:t>
      </w:r>
      <w:r w:rsidRPr="00CE27AB">
        <w:rPr>
          <w:sz w:val="24"/>
          <w:szCs w:val="24"/>
          <w:lang w:val="fr-BE"/>
        </w:rPr>
        <w:t xml:space="preserve"> contre </w:t>
      </w:r>
      <w:r w:rsidR="00831572">
        <w:rPr>
          <w:sz w:val="24"/>
          <w:szCs w:val="24"/>
          <w:lang w:val="fr-BE"/>
        </w:rPr>
        <w:t>24.689,6</w:t>
      </w:r>
      <w:r w:rsidRPr="00CE27AB">
        <w:rPr>
          <w:sz w:val="24"/>
          <w:szCs w:val="24"/>
          <w:lang w:val="fr-BE"/>
        </w:rPr>
        <w:t xml:space="preserve"> </w:t>
      </w:r>
      <w:r w:rsidR="001552FD">
        <w:rPr>
          <w:sz w:val="24"/>
          <w:szCs w:val="24"/>
          <w:lang w:val="fr-BE"/>
        </w:rPr>
        <w:t>M</w:t>
      </w:r>
      <w:r w:rsidRPr="00CE27AB">
        <w:rPr>
          <w:sz w:val="24"/>
          <w:szCs w:val="24"/>
          <w:lang w:val="fr-BE"/>
        </w:rPr>
        <w:t xml:space="preserve">BIF et </w:t>
      </w:r>
      <w:r w:rsidR="00E2097E" w:rsidRPr="00CE27AB">
        <w:rPr>
          <w:sz w:val="24"/>
          <w:szCs w:val="24"/>
          <w:lang w:val="fr-BE"/>
        </w:rPr>
        <w:t>9.461</w:t>
      </w:r>
      <w:r w:rsidRPr="00CE27AB">
        <w:rPr>
          <w:sz w:val="24"/>
          <w:szCs w:val="24"/>
          <w:lang w:val="fr-BE"/>
        </w:rPr>
        <w:t xml:space="preserve"> contre </w:t>
      </w:r>
      <w:r w:rsidR="00831572">
        <w:rPr>
          <w:sz w:val="24"/>
          <w:szCs w:val="24"/>
          <w:lang w:val="fr-BE"/>
        </w:rPr>
        <w:t>8.554</w:t>
      </w:r>
      <w:r w:rsidRPr="00CE27AB">
        <w:rPr>
          <w:sz w:val="24"/>
          <w:szCs w:val="24"/>
          <w:lang w:val="fr-BE"/>
        </w:rPr>
        <w:t xml:space="preserve"> T).</w:t>
      </w:r>
    </w:p>
    <w:p w:rsidR="00DE760D" w:rsidRPr="00CE27AB" w:rsidRDefault="001552FD" w:rsidP="00154AB4">
      <w:pPr>
        <w:spacing w:after="120"/>
        <w:jc w:val="both"/>
        <w:rPr>
          <w:sz w:val="24"/>
          <w:szCs w:val="24"/>
          <w:lang w:val="fr-BE"/>
        </w:rPr>
      </w:pPr>
      <w:r>
        <w:rPr>
          <w:sz w:val="24"/>
          <w:szCs w:val="24"/>
          <w:lang w:val="fr-BE"/>
        </w:rPr>
        <w:t>En valeur, l</w:t>
      </w:r>
      <w:r w:rsidR="00824C71">
        <w:rPr>
          <w:sz w:val="24"/>
          <w:szCs w:val="24"/>
          <w:lang w:val="fr-BE"/>
        </w:rPr>
        <w:t xml:space="preserve">a hausse des </w:t>
      </w:r>
      <w:r w:rsidR="00824C71" w:rsidRPr="00CE27AB">
        <w:rPr>
          <w:sz w:val="24"/>
          <w:szCs w:val="24"/>
          <w:lang w:val="fr-BE"/>
        </w:rPr>
        <w:t>importations</w:t>
      </w:r>
      <w:r w:rsidR="00DE760D" w:rsidRPr="00CE27AB">
        <w:rPr>
          <w:sz w:val="24"/>
          <w:szCs w:val="24"/>
          <w:lang w:val="fr-BE"/>
        </w:rPr>
        <w:t xml:space="preserve"> des biens d’équipement a </w:t>
      </w:r>
      <w:r w:rsidR="00824C71">
        <w:rPr>
          <w:sz w:val="24"/>
          <w:szCs w:val="24"/>
          <w:lang w:val="fr-BE"/>
        </w:rPr>
        <w:t>résulté</w:t>
      </w:r>
      <w:r w:rsidR="00DE760D" w:rsidRPr="00CE27AB">
        <w:rPr>
          <w:sz w:val="24"/>
          <w:szCs w:val="24"/>
          <w:lang w:val="fr-BE"/>
        </w:rPr>
        <w:t xml:space="preserve"> </w:t>
      </w:r>
      <w:r w:rsidR="00824C71" w:rsidRPr="00CE27AB">
        <w:rPr>
          <w:sz w:val="24"/>
          <w:szCs w:val="24"/>
          <w:lang w:val="fr-BE"/>
        </w:rPr>
        <w:t xml:space="preserve">des </w:t>
      </w:r>
      <w:r w:rsidR="00DE760D" w:rsidRPr="00CE27AB">
        <w:rPr>
          <w:sz w:val="24"/>
          <w:szCs w:val="24"/>
          <w:lang w:val="fr-BE"/>
        </w:rPr>
        <w:t>achat</w:t>
      </w:r>
      <w:r w:rsidR="00824C71">
        <w:rPr>
          <w:sz w:val="24"/>
          <w:szCs w:val="24"/>
          <w:lang w:val="fr-BE"/>
        </w:rPr>
        <w:t>s</w:t>
      </w:r>
      <w:r w:rsidR="00DE760D" w:rsidRPr="00CE27AB">
        <w:rPr>
          <w:sz w:val="24"/>
          <w:szCs w:val="24"/>
          <w:lang w:val="fr-BE"/>
        </w:rPr>
        <w:t xml:space="preserve"> des chaudières et engins mécaniques (</w:t>
      </w:r>
      <w:r w:rsidR="00E2097E" w:rsidRPr="00CE27AB">
        <w:rPr>
          <w:sz w:val="24"/>
          <w:szCs w:val="24"/>
          <w:lang w:val="fr-BE"/>
        </w:rPr>
        <w:t>105.631,9</w:t>
      </w:r>
      <w:r w:rsidR="00DE760D" w:rsidRPr="00CE27AB">
        <w:rPr>
          <w:sz w:val="24"/>
          <w:szCs w:val="24"/>
          <w:lang w:val="fr-BE"/>
        </w:rPr>
        <w:t xml:space="preserve"> contre </w:t>
      </w:r>
      <w:r w:rsidR="00831572">
        <w:rPr>
          <w:sz w:val="24"/>
          <w:szCs w:val="24"/>
          <w:lang w:val="fr-BE"/>
        </w:rPr>
        <w:t>72.312,9</w:t>
      </w:r>
      <w:r w:rsidR="00DE760D" w:rsidRPr="00CE27AB">
        <w:rPr>
          <w:sz w:val="24"/>
          <w:szCs w:val="24"/>
          <w:lang w:val="fr-BE"/>
        </w:rPr>
        <w:t xml:space="preserve"> MBIF), </w:t>
      </w:r>
      <w:r w:rsidR="00737F5B" w:rsidRPr="00CE27AB">
        <w:rPr>
          <w:sz w:val="24"/>
          <w:szCs w:val="24"/>
          <w:lang w:val="fr-BE"/>
        </w:rPr>
        <w:t xml:space="preserve">du matériel électrique (48.137,5 contre </w:t>
      </w:r>
      <w:r w:rsidR="00831572">
        <w:rPr>
          <w:sz w:val="24"/>
          <w:szCs w:val="24"/>
          <w:lang w:val="fr-BE"/>
        </w:rPr>
        <w:t>42.608,8</w:t>
      </w:r>
      <w:r w:rsidR="00737F5B" w:rsidRPr="00CE27AB">
        <w:rPr>
          <w:sz w:val="24"/>
          <w:szCs w:val="24"/>
          <w:lang w:val="fr-BE"/>
        </w:rPr>
        <w:t xml:space="preserve"> MBIF) et </w:t>
      </w:r>
      <w:r w:rsidR="00DE760D" w:rsidRPr="00CE27AB">
        <w:rPr>
          <w:sz w:val="24"/>
          <w:szCs w:val="24"/>
          <w:lang w:val="fr-BE"/>
        </w:rPr>
        <w:t>des tracteurs, véhicules et engins pour le transport (</w:t>
      </w:r>
      <w:r w:rsidR="00737F5B" w:rsidRPr="00CE27AB">
        <w:rPr>
          <w:sz w:val="24"/>
          <w:szCs w:val="24"/>
          <w:lang w:val="fr-BE"/>
        </w:rPr>
        <w:t>98.129,0</w:t>
      </w:r>
      <w:r w:rsidR="00DE760D" w:rsidRPr="00CE27AB">
        <w:rPr>
          <w:sz w:val="24"/>
          <w:szCs w:val="24"/>
          <w:lang w:val="fr-BE"/>
        </w:rPr>
        <w:t xml:space="preserve"> contre </w:t>
      </w:r>
      <w:r w:rsidR="00831572">
        <w:rPr>
          <w:sz w:val="24"/>
          <w:szCs w:val="24"/>
          <w:lang w:val="fr-BE"/>
        </w:rPr>
        <w:t>43.883,1</w:t>
      </w:r>
      <w:r w:rsidR="00DE760D" w:rsidRPr="00CE27AB">
        <w:rPr>
          <w:sz w:val="24"/>
          <w:szCs w:val="24"/>
          <w:lang w:val="fr-BE"/>
        </w:rPr>
        <w:t xml:space="preserve"> </w:t>
      </w:r>
      <w:r w:rsidR="00737F5B" w:rsidRPr="00CE27AB">
        <w:rPr>
          <w:sz w:val="24"/>
          <w:szCs w:val="24"/>
          <w:lang w:val="fr-BE"/>
        </w:rPr>
        <w:t>MBIF)</w:t>
      </w:r>
      <w:r w:rsidR="00DE760D" w:rsidRPr="00CE27AB">
        <w:rPr>
          <w:sz w:val="24"/>
          <w:szCs w:val="24"/>
          <w:lang w:val="fr-BE"/>
        </w:rPr>
        <w:t xml:space="preserve">. En revanche, le volume total des importations des biens d’équipement a baissé, revenant de </w:t>
      </w:r>
      <w:r w:rsidR="00831572">
        <w:rPr>
          <w:sz w:val="24"/>
          <w:szCs w:val="24"/>
          <w:lang w:val="fr-BE"/>
        </w:rPr>
        <w:t>24.982</w:t>
      </w:r>
      <w:r w:rsidR="00737F5B" w:rsidRPr="00CE27AB">
        <w:rPr>
          <w:sz w:val="24"/>
          <w:szCs w:val="24"/>
          <w:lang w:val="fr-BE"/>
        </w:rPr>
        <w:t xml:space="preserve"> à 22.425 T</w:t>
      </w:r>
      <w:r w:rsidR="00DE760D" w:rsidRPr="00CE27AB">
        <w:rPr>
          <w:sz w:val="24"/>
          <w:szCs w:val="24"/>
          <w:lang w:val="fr-BE"/>
        </w:rPr>
        <w:t>.</w:t>
      </w:r>
    </w:p>
    <w:p w:rsidR="00495227" w:rsidRPr="00CE27AB" w:rsidRDefault="00495227" w:rsidP="00154AB4">
      <w:pPr>
        <w:spacing w:after="120"/>
        <w:jc w:val="both"/>
        <w:rPr>
          <w:sz w:val="24"/>
          <w:szCs w:val="24"/>
          <w:lang w:val="fr-BE"/>
        </w:rPr>
      </w:pPr>
      <w:r w:rsidRPr="00CE27AB">
        <w:rPr>
          <w:sz w:val="24"/>
          <w:szCs w:val="24"/>
          <w:lang w:val="fr-BE"/>
        </w:rPr>
        <w:t>De son côté, l’augmentation des approvisionnements en biens de consommation a porté sur les biens durables (113.275,</w:t>
      </w:r>
      <w:r w:rsidR="00375664" w:rsidRPr="00CE27AB">
        <w:rPr>
          <w:sz w:val="24"/>
          <w:szCs w:val="24"/>
          <w:lang w:val="fr-BE"/>
        </w:rPr>
        <w:t xml:space="preserve">5 contre </w:t>
      </w:r>
      <w:r w:rsidR="00831572">
        <w:rPr>
          <w:sz w:val="24"/>
          <w:szCs w:val="24"/>
          <w:lang w:val="fr-BE"/>
        </w:rPr>
        <w:t>112.364,3</w:t>
      </w:r>
      <w:r w:rsidRPr="00CE27AB">
        <w:rPr>
          <w:sz w:val="24"/>
          <w:szCs w:val="24"/>
          <w:lang w:val="fr-BE"/>
        </w:rPr>
        <w:t xml:space="preserve"> MBIF) et non durables (</w:t>
      </w:r>
      <w:r w:rsidR="00375664" w:rsidRPr="00CE27AB">
        <w:rPr>
          <w:sz w:val="24"/>
          <w:szCs w:val="24"/>
          <w:lang w:val="fr-BE"/>
        </w:rPr>
        <w:t>209.498,9</w:t>
      </w:r>
      <w:r w:rsidRPr="00CE27AB">
        <w:rPr>
          <w:sz w:val="24"/>
          <w:szCs w:val="24"/>
          <w:lang w:val="fr-BE"/>
        </w:rPr>
        <w:t xml:space="preserve"> contre </w:t>
      </w:r>
      <w:r w:rsidR="00831572">
        <w:rPr>
          <w:sz w:val="24"/>
          <w:szCs w:val="24"/>
          <w:lang w:val="fr-BE"/>
        </w:rPr>
        <w:t>171.228 ,8</w:t>
      </w:r>
      <w:r w:rsidR="00375664" w:rsidRPr="00CE27AB">
        <w:rPr>
          <w:sz w:val="24"/>
          <w:szCs w:val="24"/>
          <w:lang w:val="fr-BE"/>
        </w:rPr>
        <w:t xml:space="preserve"> </w:t>
      </w:r>
      <w:r w:rsidRPr="00CE27AB">
        <w:rPr>
          <w:sz w:val="24"/>
          <w:szCs w:val="24"/>
          <w:lang w:val="fr-BE"/>
        </w:rPr>
        <w:t>MBIF).</w:t>
      </w:r>
    </w:p>
    <w:p w:rsidR="00ED3653" w:rsidRPr="00CE27AB" w:rsidRDefault="00ED3653" w:rsidP="00ED3653">
      <w:pPr>
        <w:jc w:val="both"/>
        <w:rPr>
          <w:sz w:val="24"/>
          <w:szCs w:val="24"/>
          <w:lang w:val="fr-BE"/>
        </w:rPr>
      </w:pPr>
      <w:r w:rsidRPr="00CE27AB">
        <w:rPr>
          <w:sz w:val="24"/>
          <w:szCs w:val="24"/>
          <w:lang w:val="fr-BE"/>
        </w:rPr>
        <w:t>Par rapport au mois précé</w:t>
      </w:r>
      <w:r w:rsidR="009549C3">
        <w:rPr>
          <w:sz w:val="24"/>
          <w:szCs w:val="24"/>
          <w:lang w:val="fr-BE"/>
        </w:rPr>
        <w:t>dent, les mises en consommation</w:t>
      </w:r>
      <w:r w:rsidRPr="00CE27AB">
        <w:rPr>
          <w:sz w:val="24"/>
          <w:szCs w:val="24"/>
          <w:lang w:val="fr-BE"/>
        </w:rPr>
        <w:t xml:space="preserve"> du mois d’octobre 2013 se sont accrues en valeur (101.882,4 </w:t>
      </w:r>
      <w:r w:rsidRPr="00CE27AB">
        <w:rPr>
          <w:sz w:val="24"/>
          <w:szCs w:val="24"/>
          <w:lang w:val="fr-BE"/>
        </w:rPr>
        <w:lastRenderedPageBreak/>
        <w:t xml:space="preserve">contre 91.967,6 MBIF) tandis qu’elles ont baissé en volume (56.960 contre </w:t>
      </w:r>
      <w:r w:rsidR="00154AB4">
        <w:rPr>
          <w:sz w:val="24"/>
          <w:szCs w:val="24"/>
          <w:lang w:val="fr-BE"/>
        </w:rPr>
        <w:t xml:space="preserve">      </w:t>
      </w:r>
      <w:r w:rsidRPr="00CE27AB">
        <w:rPr>
          <w:sz w:val="24"/>
          <w:szCs w:val="24"/>
          <w:lang w:val="fr-BE"/>
        </w:rPr>
        <w:t xml:space="preserve">66.215 T). </w:t>
      </w:r>
    </w:p>
    <w:p w:rsidR="001F0B69" w:rsidRPr="00F37F70" w:rsidRDefault="00EF104B" w:rsidP="00F37F70">
      <w:pPr>
        <w:pStyle w:val="Titre1"/>
        <w:spacing w:after="100" w:afterAutospacing="1"/>
        <w:rPr>
          <w:rFonts w:asciiTheme="minorHAnsi" w:hAnsiTheme="minorHAnsi"/>
          <w:b w:val="0"/>
          <w:color w:val="0070C0"/>
          <w:sz w:val="24"/>
          <w:szCs w:val="24"/>
          <w:lang w:val="fr-BE"/>
        </w:rPr>
      </w:pPr>
      <w:bookmarkStart w:id="20" w:name="_Toc375124052"/>
      <w:r w:rsidRPr="00F37F70">
        <w:rPr>
          <w:rFonts w:asciiTheme="minorHAnsi" w:hAnsiTheme="minorHAnsi"/>
          <w:color w:val="0070C0"/>
          <w:sz w:val="24"/>
          <w:szCs w:val="24"/>
          <w:lang w:val="fr-BE"/>
        </w:rPr>
        <w:t xml:space="preserve">VII. </w:t>
      </w:r>
      <w:r w:rsidR="001F0B69" w:rsidRPr="00F37F70">
        <w:rPr>
          <w:rFonts w:asciiTheme="minorHAnsi" w:hAnsiTheme="minorHAnsi"/>
          <w:color w:val="0070C0"/>
          <w:sz w:val="24"/>
          <w:szCs w:val="24"/>
          <w:lang w:val="fr-BE"/>
        </w:rPr>
        <w:t>TAUX DE CHANGE</w:t>
      </w:r>
      <w:bookmarkEnd w:id="20"/>
    </w:p>
    <w:p w:rsidR="00942E90" w:rsidRPr="00CE27AB" w:rsidRDefault="00942E90" w:rsidP="00154AB4">
      <w:pPr>
        <w:spacing w:after="120"/>
        <w:jc w:val="both"/>
        <w:rPr>
          <w:sz w:val="24"/>
          <w:szCs w:val="24"/>
          <w:lang w:val="fr-BE"/>
        </w:rPr>
      </w:pPr>
      <w:r w:rsidRPr="00CE27AB">
        <w:rPr>
          <w:sz w:val="24"/>
          <w:szCs w:val="24"/>
          <w:lang w:val="fr-BE"/>
        </w:rPr>
        <w:t>Le taux de change moyen du mois d</w:t>
      </w:r>
      <w:r w:rsidR="00051384" w:rsidRPr="00CE27AB">
        <w:rPr>
          <w:sz w:val="24"/>
          <w:szCs w:val="24"/>
          <w:lang w:val="fr-BE"/>
        </w:rPr>
        <w:t xml:space="preserve">’octobre </w:t>
      </w:r>
      <w:r w:rsidRPr="00CE27AB">
        <w:rPr>
          <w:sz w:val="24"/>
          <w:szCs w:val="24"/>
          <w:lang w:val="fr-BE"/>
        </w:rPr>
        <w:t xml:space="preserve"> 201</w:t>
      </w:r>
      <w:r w:rsidR="00051384" w:rsidRPr="00CE27AB">
        <w:rPr>
          <w:sz w:val="24"/>
          <w:szCs w:val="24"/>
          <w:lang w:val="fr-BE"/>
        </w:rPr>
        <w:t>3</w:t>
      </w:r>
      <w:r w:rsidRPr="00CE27AB">
        <w:rPr>
          <w:sz w:val="24"/>
          <w:szCs w:val="24"/>
          <w:lang w:val="fr-BE"/>
        </w:rPr>
        <w:t xml:space="preserve"> s’est établi à 1.</w:t>
      </w:r>
      <w:r w:rsidR="001A24B2" w:rsidRPr="00CE27AB">
        <w:rPr>
          <w:sz w:val="24"/>
          <w:szCs w:val="24"/>
          <w:lang w:val="fr-BE"/>
        </w:rPr>
        <w:t>5</w:t>
      </w:r>
      <w:r w:rsidR="00051384" w:rsidRPr="00CE27AB">
        <w:rPr>
          <w:sz w:val="24"/>
          <w:szCs w:val="24"/>
          <w:lang w:val="fr-BE"/>
        </w:rPr>
        <w:t>39,4</w:t>
      </w:r>
      <w:r w:rsidRPr="00CE27AB">
        <w:rPr>
          <w:sz w:val="24"/>
          <w:szCs w:val="24"/>
          <w:lang w:val="fr-BE"/>
        </w:rPr>
        <w:t xml:space="preserve"> contre 1.</w:t>
      </w:r>
      <w:r w:rsidR="00051384" w:rsidRPr="00CE27AB">
        <w:rPr>
          <w:sz w:val="24"/>
          <w:szCs w:val="24"/>
          <w:lang w:val="fr-BE"/>
        </w:rPr>
        <w:t>486,5</w:t>
      </w:r>
      <w:r w:rsidRPr="00CE27AB">
        <w:rPr>
          <w:sz w:val="24"/>
          <w:szCs w:val="24"/>
          <w:lang w:val="fr-BE"/>
        </w:rPr>
        <w:t xml:space="preserve"> BIF pour un dollar américain au même mois de l’année précédente, soit une dépréciation de </w:t>
      </w:r>
      <w:r w:rsidR="00051384" w:rsidRPr="00CE27AB">
        <w:rPr>
          <w:sz w:val="24"/>
          <w:szCs w:val="24"/>
          <w:lang w:val="fr-BE"/>
        </w:rPr>
        <w:t>3</w:t>
      </w:r>
      <w:r w:rsidR="001A24B2" w:rsidRPr="00CE27AB">
        <w:rPr>
          <w:sz w:val="24"/>
          <w:szCs w:val="24"/>
          <w:lang w:val="fr-BE"/>
        </w:rPr>
        <w:t>,</w:t>
      </w:r>
      <w:r w:rsidR="00051384" w:rsidRPr="00CE27AB">
        <w:rPr>
          <w:sz w:val="24"/>
          <w:szCs w:val="24"/>
          <w:lang w:val="fr-BE"/>
        </w:rPr>
        <w:t>6</w:t>
      </w:r>
      <w:r w:rsidRPr="00CE27AB">
        <w:rPr>
          <w:sz w:val="24"/>
          <w:szCs w:val="24"/>
          <w:lang w:val="fr-BE"/>
        </w:rPr>
        <w:t xml:space="preserve"> p.c</w:t>
      </w:r>
      <w:r w:rsidR="00306122" w:rsidRPr="00CE27AB">
        <w:rPr>
          <w:sz w:val="24"/>
          <w:szCs w:val="24"/>
          <w:lang w:val="fr-BE"/>
        </w:rPr>
        <w:t xml:space="preserve">. </w:t>
      </w:r>
      <w:r w:rsidRPr="00CE27AB">
        <w:rPr>
          <w:sz w:val="24"/>
          <w:szCs w:val="24"/>
          <w:lang w:val="fr-BE"/>
        </w:rPr>
        <w:t xml:space="preserve">Par rapport </w:t>
      </w:r>
      <w:r w:rsidR="00E241E9">
        <w:rPr>
          <w:sz w:val="24"/>
          <w:szCs w:val="24"/>
          <w:lang w:val="fr-BE"/>
        </w:rPr>
        <w:t>au mois précédent</w:t>
      </w:r>
      <w:r w:rsidRPr="00CE27AB">
        <w:rPr>
          <w:sz w:val="24"/>
          <w:szCs w:val="24"/>
          <w:lang w:val="fr-BE"/>
        </w:rPr>
        <w:t xml:space="preserve">, le franc Burundi s’est </w:t>
      </w:r>
      <w:r w:rsidR="00051384" w:rsidRPr="00CE27AB">
        <w:rPr>
          <w:sz w:val="24"/>
          <w:szCs w:val="24"/>
          <w:lang w:val="fr-BE"/>
        </w:rPr>
        <w:t xml:space="preserve">légèrement </w:t>
      </w:r>
      <w:r w:rsidRPr="00CE27AB">
        <w:rPr>
          <w:sz w:val="24"/>
          <w:szCs w:val="24"/>
          <w:lang w:val="fr-BE"/>
        </w:rPr>
        <w:t>dé</w:t>
      </w:r>
      <w:r w:rsidR="00051384" w:rsidRPr="00CE27AB">
        <w:rPr>
          <w:sz w:val="24"/>
          <w:szCs w:val="24"/>
          <w:lang w:val="fr-BE"/>
        </w:rPr>
        <w:t>grad</w:t>
      </w:r>
      <w:r w:rsidRPr="00CE27AB">
        <w:rPr>
          <w:sz w:val="24"/>
          <w:szCs w:val="24"/>
          <w:lang w:val="fr-BE"/>
        </w:rPr>
        <w:t xml:space="preserve">é de </w:t>
      </w:r>
      <w:r w:rsidR="007F03E6" w:rsidRPr="00CE27AB">
        <w:rPr>
          <w:sz w:val="24"/>
          <w:szCs w:val="24"/>
          <w:lang w:val="fr-BE"/>
        </w:rPr>
        <w:t>0</w:t>
      </w:r>
      <w:r w:rsidR="00051384" w:rsidRPr="00CE27AB">
        <w:rPr>
          <w:sz w:val="24"/>
          <w:szCs w:val="24"/>
          <w:lang w:val="fr-BE"/>
        </w:rPr>
        <w:t>,02</w:t>
      </w:r>
      <w:r w:rsidRPr="00CE27AB">
        <w:rPr>
          <w:sz w:val="24"/>
          <w:szCs w:val="24"/>
          <w:lang w:val="fr-BE"/>
        </w:rPr>
        <w:t xml:space="preserve"> p.c., se fixant à </w:t>
      </w:r>
      <w:r w:rsidR="00051384" w:rsidRPr="00CE27AB">
        <w:rPr>
          <w:sz w:val="24"/>
          <w:szCs w:val="24"/>
          <w:lang w:val="fr-BE"/>
        </w:rPr>
        <w:t xml:space="preserve">1.539,4 </w:t>
      </w:r>
      <w:r w:rsidRPr="00CE27AB">
        <w:rPr>
          <w:sz w:val="24"/>
          <w:szCs w:val="24"/>
          <w:lang w:val="fr-BE"/>
        </w:rPr>
        <w:t xml:space="preserve">contre </w:t>
      </w:r>
      <w:r w:rsidR="00051384" w:rsidRPr="00CE27AB">
        <w:rPr>
          <w:sz w:val="24"/>
          <w:szCs w:val="24"/>
          <w:lang w:val="fr-BE"/>
        </w:rPr>
        <w:t>1.539,1 BIF</w:t>
      </w:r>
      <w:r w:rsidRPr="00CE27AB">
        <w:rPr>
          <w:sz w:val="24"/>
          <w:szCs w:val="24"/>
          <w:lang w:val="fr-BE"/>
        </w:rPr>
        <w:t>.</w:t>
      </w:r>
    </w:p>
    <w:p w:rsidR="000E4B66" w:rsidRDefault="00942E90" w:rsidP="00942E90">
      <w:pPr>
        <w:jc w:val="both"/>
        <w:rPr>
          <w:sz w:val="24"/>
          <w:szCs w:val="24"/>
          <w:lang w:val="fr-BE"/>
        </w:rPr>
      </w:pPr>
      <w:r w:rsidRPr="00CE27AB">
        <w:rPr>
          <w:sz w:val="24"/>
          <w:szCs w:val="24"/>
          <w:lang w:val="fr-BE"/>
        </w:rPr>
        <w:t xml:space="preserve">En fin de période, le franc Burundi a connu une dépréciation de </w:t>
      </w:r>
      <w:r w:rsidR="001A24B2" w:rsidRPr="00CE27AB">
        <w:rPr>
          <w:sz w:val="24"/>
          <w:szCs w:val="24"/>
          <w:lang w:val="fr-BE"/>
        </w:rPr>
        <w:t>3,</w:t>
      </w:r>
      <w:r w:rsidR="00051384" w:rsidRPr="00CE27AB">
        <w:rPr>
          <w:sz w:val="24"/>
          <w:szCs w:val="24"/>
          <w:lang w:val="fr-BE"/>
        </w:rPr>
        <w:t>5</w:t>
      </w:r>
      <w:r w:rsidRPr="00CE27AB">
        <w:rPr>
          <w:sz w:val="24"/>
          <w:szCs w:val="24"/>
          <w:lang w:val="fr-BE"/>
        </w:rPr>
        <w:t xml:space="preserve"> p.c. face au dollar américain, s’établissant à </w:t>
      </w:r>
      <w:r w:rsidR="003301CB" w:rsidRPr="00CE27AB">
        <w:rPr>
          <w:sz w:val="24"/>
          <w:szCs w:val="24"/>
          <w:lang w:val="fr-BE"/>
        </w:rPr>
        <w:t>1.539,5</w:t>
      </w:r>
      <w:r w:rsidR="001A24B2" w:rsidRPr="00CE27AB">
        <w:rPr>
          <w:sz w:val="24"/>
          <w:szCs w:val="24"/>
          <w:lang w:val="fr-BE"/>
        </w:rPr>
        <w:t xml:space="preserve"> contre </w:t>
      </w:r>
      <w:r w:rsidR="003301CB" w:rsidRPr="00CE27AB">
        <w:rPr>
          <w:sz w:val="24"/>
          <w:szCs w:val="24"/>
          <w:lang w:val="fr-BE"/>
        </w:rPr>
        <w:t>1.486,7</w:t>
      </w:r>
      <w:r w:rsidR="001A24B2" w:rsidRPr="00CE27AB">
        <w:rPr>
          <w:sz w:val="24"/>
          <w:szCs w:val="24"/>
          <w:lang w:val="fr-BE"/>
        </w:rPr>
        <w:t xml:space="preserve"> BIF</w:t>
      </w:r>
      <w:r w:rsidR="003301CB" w:rsidRPr="00CE27AB">
        <w:rPr>
          <w:sz w:val="24"/>
          <w:szCs w:val="24"/>
          <w:lang w:val="fr-BE"/>
        </w:rPr>
        <w:t xml:space="preserve"> et de</w:t>
      </w:r>
      <w:r w:rsidR="00CE27AB" w:rsidRPr="00CE27AB">
        <w:rPr>
          <w:sz w:val="24"/>
          <w:szCs w:val="24"/>
          <w:lang w:val="fr-BE"/>
        </w:rPr>
        <w:t xml:space="preserve"> 0,01 p.c. par rapport </w:t>
      </w:r>
      <w:r w:rsidR="000E4B66">
        <w:rPr>
          <w:sz w:val="24"/>
          <w:szCs w:val="24"/>
          <w:lang w:val="fr-BE"/>
        </w:rPr>
        <w:t xml:space="preserve">    </w:t>
      </w:r>
      <w:r w:rsidR="00CE27AB" w:rsidRPr="00CE27AB">
        <w:rPr>
          <w:sz w:val="24"/>
          <w:szCs w:val="24"/>
          <w:lang w:val="fr-BE"/>
        </w:rPr>
        <w:t>au mois</w:t>
      </w:r>
      <w:r w:rsidR="000E4B66">
        <w:rPr>
          <w:sz w:val="24"/>
          <w:szCs w:val="24"/>
          <w:lang w:val="fr-BE"/>
        </w:rPr>
        <w:t xml:space="preserve"> </w:t>
      </w:r>
      <w:r w:rsidR="00E241E9">
        <w:rPr>
          <w:sz w:val="24"/>
          <w:szCs w:val="24"/>
          <w:lang w:val="fr-BE"/>
        </w:rPr>
        <w:t>précédent</w:t>
      </w:r>
      <w:r w:rsidR="00CE27AB" w:rsidRPr="00CE27AB">
        <w:rPr>
          <w:sz w:val="24"/>
          <w:szCs w:val="24"/>
          <w:lang w:val="fr-BE"/>
        </w:rPr>
        <w:t xml:space="preserve">. </w:t>
      </w:r>
      <w:r w:rsidR="003301CB" w:rsidRPr="00CE27AB">
        <w:rPr>
          <w:sz w:val="24"/>
          <w:szCs w:val="24"/>
          <w:lang w:val="fr-BE"/>
        </w:rPr>
        <w:t xml:space="preserve"> </w:t>
      </w:r>
    </w:p>
    <w:p w:rsidR="009E1F01" w:rsidRDefault="009E1F01" w:rsidP="00942E90">
      <w:pPr>
        <w:jc w:val="both"/>
        <w:rPr>
          <w:sz w:val="24"/>
          <w:szCs w:val="24"/>
          <w:lang w:val="fr-BE"/>
        </w:rPr>
        <w:sectPr w:rsidR="009E1F01" w:rsidSect="00494034">
          <w:pgSz w:w="11906" w:h="16838"/>
          <w:pgMar w:top="1417" w:right="1417" w:bottom="1417" w:left="1417" w:header="708" w:footer="708" w:gutter="0"/>
          <w:pgNumType w:start="1"/>
          <w:cols w:num="2" w:space="708"/>
          <w:docGrid w:linePitch="360"/>
        </w:sectPr>
      </w:pPr>
    </w:p>
    <w:p w:rsidR="003301CB" w:rsidRPr="001E5C79" w:rsidRDefault="000E4B66" w:rsidP="00F37F70">
      <w:pPr>
        <w:pStyle w:val="Titre1"/>
        <w:spacing w:after="120"/>
        <w:rPr>
          <w:rFonts w:asciiTheme="minorHAnsi" w:hAnsiTheme="minorHAnsi"/>
          <w:b w:val="0"/>
          <w:color w:val="0070C0"/>
          <w:sz w:val="24"/>
          <w:szCs w:val="24"/>
          <w:lang w:val="fr-BE"/>
        </w:rPr>
      </w:pPr>
      <w:bookmarkStart w:id="21" w:name="_Toc375124053"/>
      <w:r w:rsidRPr="001E5C79">
        <w:rPr>
          <w:rFonts w:asciiTheme="minorHAnsi" w:hAnsiTheme="minorHAnsi"/>
          <w:color w:val="0070C0"/>
          <w:sz w:val="24"/>
          <w:szCs w:val="24"/>
          <w:lang w:val="fr-BE"/>
        </w:rPr>
        <w:lastRenderedPageBreak/>
        <w:t>ANNEXE 1 : PRINCIPAUX INDICATEURS MENSUELS</w:t>
      </w:r>
      <w:bookmarkEnd w:id="21"/>
    </w:p>
    <w:p w:rsidR="00B30AF8" w:rsidRDefault="000E4B66" w:rsidP="00942E90">
      <w:pPr>
        <w:jc w:val="both"/>
        <w:rPr>
          <w:sz w:val="24"/>
          <w:szCs w:val="24"/>
          <w:lang w:val="fr-BE"/>
        </w:rPr>
      </w:pPr>
      <w:r w:rsidRPr="00FD2D39">
        <w:rPr>
          <w:sz w:val="24"/>
          <w:szCs w:val="24"/>
          <w:lang w:val="fr-BE"/>
        </w:rPr>
        <w:object w:dxaOrig="14936" w:dyaOrig="15756">
          <v:shape id="_x0000_i1026" type="#_x0000_t75" style="width:441pt;height:662.25pt" o:ole="">
            <v:imagedata r:id="rId12" o:title=""/>
          </v:shape>
          <o:OLEObject Type="Embed" ProgID="Excel.Sheet.8" ShapeID="_x0000_i1026" DrawAspect="Content" ObjectID="_1449907928" r:id="rId13"/>
        </w:object>
      </w:r>
    </w:p>
    <w:p w:rsidR="000E4B66" w:rsidRPr="001E5C79" w:rsidRDefault="000E4B66" w:rsidP="00CD2B3F">
      <w:pPr>
        <w:pStyle w:val="Titre1"/>
        <w:rPr>
          <w:rFonts w:ascii="Calibri" w:hAnsi="Calibri"/>
          <w:b w:val="0"/>
          <w:color w:val="0070C0"/>
          <w:sz w:val="24"/>
          <w:szCs w:val="24"/>
        </w:rPr>
      </w:pPr>
      <w:bookmarkStart w:id="22" w:name="_Toc375124054"/>
      <w:r w:rsidRPr="001E5C79">
        <w:rPr>
          <w:rFonts w:ascii="Calibri" w:hAnsi="Calibri"/>
          <w:color w:val="0070C0"/>
          <w:sz w:val="24"/>
          <w:szCs w:val="24"/>
        </w:rPr>
        <w:lastRenderedPageBreak/>
        <w:t>ANNEXE 2 : PRINCIPAUX INDICATEURS ANNUELS</w:t>
      </w:r>
      <w:bookmarkEnd w:id="22"/>
    </w:p>
    <w:p w:rsidR="000E4B66" w:rsidRDefault="000E4B66" w:rsidP="009C6C70">
      <w:pPr>
        <w:jc w:val="both"/>
        <w:rPr>
          <w:b/>
          <w:sz w:val="24"/>
          <w:szCs w:val="24"/>
        </w:rPr>
      </w:pPr>
    </w:p>
    <w:p w:rsidR="000E4B66" w:rsidRPr="00CE27AB" w:rsidRDefault="00F068DB" w:rsidP="009C6C70">
      <w:pPr>
        <w:jc w:val="both"/>
        <w:rPr>
          <w:b/>
          <w:sz w:val="24"/>
          <w:szCs w:val="24"/>
        </w:rPr>
      </w:pPr>
      <w:r w:rsidRPr="00FD2D39">
        <w:rPr>
          <w:b/>
          <w:sz w:val="24"/>
          <w:szCs w:val="24"/>
        </w:rPr>
        <w:object w:dxaOrig="12360" w:dyaOrig="13035">
          <v:shape id="_x0000_i1027" type="#_x0000_t75" style="width:459pt;height:599.25pt" o:ole="">
            <v:imagedata r:id="rId14" o:title=""/>
          </v:shape>
          <o:OLEObject Type="Link" ProgID="Excel.Sheet.8" ShapeID="_x0000_i1027" DrawAspect="Content" r:id="rId15" UpdateMode="Always">
            <o:LinkType>EnhancedMetaFile</o:LinkType>
            <o:LockedField>false</o:LockedField>
          </o:OLEObject>
        </w:object>
      </w:r>
    </w:p>
    <w:sectPr w:rsidR="000E4B66" w:rsidRPr="00CE27AB" w:rsidSect="000E4B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9F" w:rsidRDefault="00885B9F" w:rsidP="0018285A">
      <w:pPr>
        <w:spacing w:after="0" w:line="240" w:lineRule="auto"/>
      </w:pPr>
      <w:r>
        <w:separator/>
      </w:r>
    </w:p>
  </w:endnote>
  <w:endnote w:type="continuationSeparator" w:id="0">
    <w:p w:rsidR="00885B9F" w:rsidRDefault="00885B9F" w:rsidP="00182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4081"/>
      <w:docPartObj>
        <w:docPartGallery w:val="Page Numbers (Bottom of Page)"/>
        <w:docPartUnique/>
      </w:docPartObj>
    </w:sdtPr>
    <w:sdtContent>
      <w:p w:rsidR="00BE6E34" w:rsidRDefault="00344163">
        <w:pPr>
          <w:pStyle w:val="Pieddepage"/>
          <w:jc w:val="right"/>
        </w:pPr>
        <w:fldSimple w:instr=" PAGE   \* MERGEFORMAT ">
          <w:r w:rsidR="00690C14">
            <w:rPr>
              <w:noProof/>
            </w:rPr>
            <w:t>3</w:t>
          </w:r>
        </w:fldSimple>
      </w:p>
    </w:sdtContent>
  </w:sdt>
  <w:p w:rsidR="000E4B66" w:rsidRDefault="000E4B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9F" w:rsidRDefault="00885B9F" w:rsidP="0018285A">
      <w:pPr>
        <w:spacing w:after="0" w:line="240" w:lineRule="auto"/>
      </w:pPr>
      <w:r>
        <w:separator/>
      </w:r>
    </w:p>
  </w:footnote>
  <w:footnote w:type="continuationSeparator" w:id="0">
    <w:p w:rsidR="00885B9F" w:rsidRDefault="00885B9F" w:rsidP="001828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34" w:rsidRDefault="00494034">
    <w:pPr>
      <w:pStyle w:val="En-tte"/>
      <w:jc w:val="right"/>
    </w:pPr>
  </w:p>
  <w:p w:rsidR="001E5C79" w:rsidRDefault="001E5C7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9884"/>
      <w:docPartObj>
        <w:docPartGallery w:val="Page Numbers (Top of Page)"/>
        <w:docPartUnique/>
      </w:docPartObj>
    </w:sdtPr>
    <w:sdtContent>
      <w:p w:rsidR="00494034" w:rsidRDefault="00344163">
        <w:pPr>
          <w:pStyle w:val="En-tte"/>
          <w:jc w:val="right"/>
        </w:pPr>
      </w:p>
    </w:sdtContent>
  </w:sdt>
  <w:p w:rsidR="00494034" w:rsidRDefault="0049403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1D3C"/>
    <w:rsid w:val="00003E1A"/>
    <w:rsid w:val="00010932"/>
    <w:rsid w:val="00020DB5"/>
    <w:rsid w:val="00027FC0"/>
    <w:rsid w:val="000311A5"/>
    <w:rsid w:val="000372C7"/>
    <w:rsid w:val="000432FE"/>
    <w:rsid w:val="000440F3"/>
    <w:rsid w:val="00051384"/>
    <w:rsid w:val="00072C04"/>
    <w:rsid w:val="00086AE6"/>
    <w:rsid w:val="00094C96"/>
    <w:rsid w:val="000A6F86"/>
    <w:rsid w:val="000B03FF"/>
    <w:rsid w:val="000C1BCD"/>
    <w:rsid w:val="000C7030"/>
    <w:rsid w:val="000E454E"/>
    <w:rsid w:val="000E4B66"/>
    <w:rsid w:val="00111480"/>
    <w:rsid w:val="0011251D"/>
    <w:rsid w:val="00112D89"/>
    <w:rsid w:val="00120E1F"/>
    <w:rsid w:val="001214A4"/>
    <w:rsid w:val="00133A3F"/>
    <w:rsid w:val="00134A03"/>
    <w:rsid w:val="00154AB4"/>
    <w:rsid w:val="001552FD"/>
    <w:rsid w:val="00164F0D"/>
    <w:rsid w:val="0017002C"/>
    <w:rsid w:val="0018156D"/>
    <w:rsid w:val="0018285A"/>
    <w:rsid w:val="00187805"/>
    <w:rsid w:val="00190334"/>
    <w:rsid w:val="00196FA0"/>
    <w:rsid w:val="001A24B2"/>
    <w:rsid w:val="001B1425"/>
    <w:rsid w:val="001B3373"/>
    <w:rsid w:val="001D6B0C"/>
    <w:rsid w:val="001E07FB"/>
    <w:rsid w:val="001E5C79"/>
    <w:rsid w:val="001F0B69"/>
    <w:rsid w:val="001F45A0"/>
    <w:rsid w:val="0020105D"/>
    <w:rsid w:val="00225878"/>
    <w:rsid w:val="00236F96"/>
    <w:rsid w:val="002723E9"/>
    <w:rsid w:val="002A01B0"/>
    <w:rsid w:val="002A3474"/>
    <w:rsid w:val="002B13C9"/>
    <w:rsid w:val="002C2F74"/>
    <w:rsid w:val="002D37E3"/>
    <w:rsid w:val="002E7C59"/>
    <w:rsid w:val="002F73CD"/>
    <w:rsid w:val="00302381"/>
    <w:rsid w:val="00305CE6"/>
    <w:rsid w:val="00306122"/>
    <w:rsid w:val="003203BF"/>
    <w:rsid w:val="00324E54"/>
    <w:rsid w:val="003301CB"/>
    <w:rsid w:val="00332BDE"/>
    <w:rsid w:val="003417CD"/>
    <w:rsid w:val="00344163"/>
    <w:rsid w:val="00352B4B"/>
    <w:rsid w:val="0036545D"/>
    <w:rsid w:val="00365EBE"/>
    <w:rsid w:val="00375664"/>
    <w:rsid w:val="00376A25"/>
    <w:rsid w:val="00397797"/>
    <w:rsid w:val="003A1612"/>
    <w:rsid w:val="003B2B72"/>
    <w:rsid w:val="003C166A"/>
    <w:rsid w:val="003D3BC0"/>
    <w:rsid w:val="003F3BDA"/>
    <w:rsid w:val="003F74AB"/>
    <w:rsid w:val="00400F32"/>
    <w:rsid w:val="00404F3C"/>
    <w:rsid w:val="00406A1F"/>
    <w:rsid w:val="004136F7"/>
    <w:rsid w:val="00421EB8"/>
    <w:rsid w:val="00422A89"/>
    <w:rsid w:val="00427FAE"/>
    <w:rsid w:val="00432B91"/>
    <w:rsid w:val="00461C4D"/>
    <w:rsid w:val="004765BE"/>
    <w:rsid w:val="00494034"/>
    <w:rsid w:val="00495227"/>
    <w:rsid w:val="004A0E09"/>
    <w:rsid w:val="004A1221"/>
    <w:rsid w:val="004B2082"/>
    <w:rsid w:val="004C14CF"/>
    <w:rsid w:val="004C3117"/>
    <w:rsid w:val="004C77FB"/>
    <w:rsid w:val="004C7F82"/>
    <w:rsid w:val="004D32E5"/>
    <w:rsid w:val="004E0422"/>
    <w:rsid w:val="004F6877"/>
    <w:rsid w:val="00502231"/>
    <w:rsid w:val="00521B2D"/>
    <w:rsid w:val="005226EB"/>
    <w:rsid w:val="00532A69"/>
    <w:rsid w:val="005630F7"/>
    <w:rsid w:val="005849E1"/>
    <w:rsid w:val="00584F66"/>
    <w:rsid w:val="0058716C"/>
    <w:rsid w:val="005A11BE"/>
    <w:rsid w:val="005C0928"/>
    <w:rsid w:val="005C22AF"/>
    <w:rsid w:val="005C27E8"/>
    <w:rsid w:val="005D7668"/>
    <w:rsid w:val="005D77C6"/>
    <w:rsid w:val="005F2E57"/>
    <w:rsid w:val="005F320B"/>
    <w:rsid w:val="005F737F"/>
    <w:rsid w:val="0060407D"/>
    <w:rsid w:val="00613123"/>
    <w:rsid w:val="0062761C"/>
    <w:rsid w:val="00640E1F"/>
    <w:rsid w:val="00653858"/>
    <w:rsid w:val="0066225E"/>
    <w:rsid w:val="00663656"/>
    <w:rsid w:val="00673AAE"/>
    <w:rsid w:val="00690C14"/>
    <w:rsid w:val="006B07C7"/>
    <w:rsid w:val="006C5B5F"/>
    <w:rsid w:val="006C6D1E"/>
    <w:rsid w:val="006D3EBD"/>
    <w:rsid w:val="006E68FC"/>
    <w:rsid w:val="006E7288"/>
    <w:rsid w:val="0070049F"/>
    <w:rsid w:val="00712880"/>
    <w:rsid w:val="00731F78"/>
    <w:rsid w:val="00737F5B"/>
    <w:rsid w:val="00742BFA"/>
    <w:rsid w:val="007579CC"/>
    <w:rsid w:val="0076291F"/>
    <w:rsid w:val="007B43BA"/>
    <w:rsid w:val="007D01C9"/>
    <w:rsid w:val="007D58B7"/>
    <w:rsid w:val="007E0ED3"/>
    <w:rsid w:val="007F03E6"/>
    <w:rsid w:val="007F2386"/>
    <w:rsid w:val="007F315E"/>
    <w:rsid w:val="008009C6"/>
    <w:rsid w:val="00814921"/>
    <w:rsid w:val="00824C71"/>
    <w:rsid w:val="00831572"/>
    <w:rsid w:val="008510BD"/>
    <w:rsid w:val="00863C2D"/>
    <w:rsid w:val="00872E11"/>
    <w:rsid w:val="00885B9F"/>
    <w:rsid w:val="008906D5"/>
    <w:rsid w:val="00890D3B"/>
    <w:rsid w:val="008962CA"/>
    <w:rsid w:val="00897442"/>
    <w:rsid w:val="008B1AEB"/>
    <w:rsid w:val="008B48A0"/>
    <w:rsid w:val="008C0626"/>
    <w:rsid w:val="008E18E0"/>
    <w:rsid w:val="008E3EC2"/>
    <w:rsid w:val="00907259"/>
    <w:rsid w:val="00911F09"/>
    <w:rsid w:val="00925B10"/>
    <w:rsid w:val="00942E90"/>
    <w:rsid w:val="009549C3"/>
    <w:rsid w:val="00960578"/>
    <w:rsid w:val="00961B2F"/>
    <w:rsid w:val="00964F5B"/>
    <w:rsid w:val="00965C96"/>
    <w:rsid w:val="00975EB6"/>
    <w:rsid w:val="00997BF3"/>
    <w:rsid w:val="009B6A55"/>
    <w:rsid w:val="009B6F31"/>
    <w:rsid w:val="009C6C70"/>
    <w:rsid w:val="009D23DC"/>
    <w:rsid w:val="009D5DBA"/>
    <w:rsid w:val="009E1F01"/>
    <w:rsid w:val="00A24325"/>
    <w:rsid w:val="00A304C5"/>
    <w:rsid w:val="00A43E12"/>
    <w:rsid w:val="00A70EFE"/>
    <w:rsid w:val="00A75722"/>
    <w:rsid w:val="00A757E4"/>
    <w:rsid w:val="00A82A10"/>
    <w:rsid w:val="00A978D0"/>
    <w:rsid w:val="00AD4A86"/>
    <w:rsid w:val="00AD5CE0"/>
    <w:rsid w:val="00AE3CC7"/>
    <w:rsid w:val="00AE3FCC"/>
    <w:rsid w:val="00AE6FD2"/>
    <w:rsid w:val="00AE79A7"/>
    <w:rsid w:val="00AF654E"/>
    <w:rsid w:val="00B30AF8"/>
    <w:rsid w:val="00B41ACC"/>
    <w:rsid w:val="00B8662F"/>
    <w:rsid w:val="00B92245"/>
    <w:rsid w:val="00B92719"/>
    <w:rsid w:val="00B92FBA"/>
    <w:rsid w:val="00BA2246"/>
    <w:rsid w:val="00BC5D53"/>
    <w:rsid w:val="00BE0CBE"/>
    <w:rsid w:val="00BE6E34"/>
    <w:rsid w:val="00C042B4"/>
    <w:rsid w:val="00C048DA"/>
    <w:rsid w:val="00C106E9"/>
    <w:rsid w:val="00C1489C"/>
    <w:rsid w:val="00C32173"/>
    <w:rsid w:val="00C3504B"/>
    <w:rsid w:val="00C54A92"/>
    <w:rsid w:val="00C61737"/>
    <w:rsid w:val="00C651AE"/>
    <w:rsid w:val="00C655CF"/>
    <w:rsid w:val="00C80EC9"/>
    <w:rsid w:val="00CB69B1"/>
    <w:rsid w:val="00CD2B3F"/>
    <w:rsid w:val="00CE27AB"/>
    <w:rsid w:val="00CE727A"/>
    <w:rsid w:val="00D06DAB"/>
    <w:rsid w:val="00D349C5"/>
    <w:rsid w:val="00D35195"/>
    <w:rsid w:val="00D5754A"/>
    <w:rsid w:val="00D73A8B"/>
    <w:rsid w:val="00D74137"/>
    <w:rsid w:val="00D74B97"/>
    <w:rsid w:val="00D80729"/>
    <w:rsid w:val="00D862B3"/>
    <w:rsid w:val="00D960E3"/>
    <w:rsid w:val="00D97E6A"/>
    <w:rsid w:val="00DA12A9"/>
    <w:rsid w:val="00DB3FDE"/>
    <w:rsid w:val="00DC3214"/>
    <w:rsid w:val="00DD5F67"/>
    <w:rsid w:val="00DE760D"/>
    <w:rsid w:val="00DF2F33"/>
    <w:rsid w:val="00DF7317"/>
    <w:rsid w:val="00E0211A"/>
    <w:rsid w:val="00E05A93"/>
    <w:rsid w:val="00E2097E"/>
    <w:rsid w:val="00E2377E"/>
    <w:rsid w:val="00E241E9"/>
    <w:rsid w:val="00E450EC"/>
    <w:rsid w:val="00E52954"/>
    <w:rsid w:val="00E53792"/>
    <w:rsid w:val="00E571A2"/>
    <w:rsid w:val="00E6195A"/>
    <w:rsid w:val="00E91D3C"/>
    <w:rsid w:val="00EA268E"/>
    <w:rsid w:val="00EB143E"/>
    <w:rsid w:val="00ED3653"/>
    <w:rsid w:val="00ED4D27"/>
    <w:rsid w:val="00ED529F"/>
    <w:rsid w:val="00EF104B"/>
    <w:rsid w:val="00F009A7"/>
    <w:rsid w:val="00F068DB"/>
    <w:rsid w:val="00F07F1C"/>
    <w:rsid w:val="00F37F70"/>
    <w:rsid w:val="00F71F97"/>
    <w:rsid w:val="00F96ED7"/>
    <w:rsid w:val="00FC51D8"/>
    <w:rsid w:val="00FC68E6"/>
    <w:rsid w:val="00FD2D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F3"/>
  </w:style>
  <w:style w:type="paragraph" w:styleId="Titre1">
    <w:name w:val="heading 1"/>
    <w:basedOn w:val="Normal"/>
    <w:next w:val="Normal"/>
    <w:link w:val="Titre1Car"/>
    <w:uiPriority w:val="9"/>
    <w:qFormat/>
    <w:rsid w:val="00CD2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2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D2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285A"/>
    <w:pPr>
      <w:tabs>
        <w:tab w:val="center" w:pos="4536"/>
        <w:tab w:val="right" w:pos="9072"/>
      </w:tabs>
      <w:spacing w:after="0" w:line="240" w:lineRule="auto"/>
    </w:pPr>
  </w:style>
  <w:style w:type="character" w:customStyle="1" w:styleId="En-tteCar">
    <w:name w:val="En-tête Car"/>
    <w:basedOn w:val="Policepardfaut"/>
    <w:link w:val="En-tte"/>
    <w:uiPriority w:val="99"/>
    <w:rsid w:val="0018285A"/>
  </w:style>
  <w:style w:type="paragraph" w:styleId="Pieddepage">
    <w:name w:val="footer"/>
    <w:basedOn w:val="Normal"/>
    <w:link w:val="PieddepageCar"/>
    <w:uiPriority w:val="99"/>
    <w:unhideWhenUsed/>
    <w:rsid w:val="001828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85A"/>
  </w:style>
  <w:style w:type="paragraph" w:styleId="Retraitcorpsdetexte">
    <w:name w:val="Body Text Indent"/>
    <w:basedOn w:val="Normal"/>
    <w:link w:val="RetraitcorpsdetexteCar"/>
    <w:rsid w:val="006C5B5F"/>
    <w:pPr>
      <w:widowControl w:val="0"/>
      <w:autoSpaceDE w:val="0"/>
      <w:autoSpaceDN w:val="0"/>
      <w:adjustRightInd w:val="0"/>
      <w:spacing w:after="0" w:line="240" w:lineRule="auto"/>
      <w:ind w:firstLine="720"/>
      <w:jc w:val="both"/>
    </w:pPr>
    <w:rPr>
      <w:rFonts w:ascii="Calibri" w:eastAsia="Times New Roman" w:hAnsi="Calibri" w:cs="Calibri"/>
      <w:sz w:val="28"/>
      <w:szCs w:val="24"/>
      <w:lang w:eastAsia="fr-FR"/>
    </w:rPr>
  </w:style>
  <w:style w:type="character" w:customStyle="1" w:styleId="RetraitcorpsdetexteCar">
    <w:name w:val="Retrait corps de texte Car"/>
    <w:basedOn w:val="Policepardfaut"/>
    <w:link w:val="Retraitcorpsdetexte"/>
    <w:rsid w:val="006C5B5F"/>
    <w:rPr>
      <w:rFonts w:ascii="Calibri" w:eastAsia="Times New Roman" w:hAnsi="Calibri" w:cs="Calibri"/>
      <w:sz w:val="28"/>
      <w:szCs w:val="24"/>
      <w:lang w:eastAsia="fr-FR"/>
    </w:rPr>
  </w:style>
  <w:style w:type="paragraph" w:styleId="Retraitcorpsdetexte3">
    <w:name w:val="Body Text Indent 3"/>
    <w:basedOn w:val="Normal"/>
    <w:link w:val="Retraitcorpsdetexte3Car"/>
    <w:rsid w:val="006C5B5F"/>
    <w:pPr>
      <w:widowControl w:val="0"/>
      <w:autoSpaceDE w:val="0"/>
      <w:autoSpaceDN w:val="0"/>
      <w:adjustRightInd w:val="0"/>
      <w:spacing w:after="0" w:line="240" w:lineRule="auto"/>
      <w:ind w:firstLine="720"/>
      <w:jc w:val="both"/>
    </w:pPr>
    <w:rPr>
      <w:rFonts w:ascii="Calibri" w:eastAsia="Times New Roman" w:hAnsi="Calibri" w:cs="Calibri"/>
      <w:color w:val="FF0000"/>
      <w:sz w:val="28"/>
      <w:szCs w:val="28"/>
      <w:lang w:eastAsia="fr-FR"/>
    </w:rPr>
  </w:style>
  <w:style w:type="character" w:customStyle="1" w:styleId="Retraitcorpsdetexte3Car">
    <w:name w:val="Retrait corps de texte 3 Car"/>
    <w:basedOn w:val="Policepardfaut"/>
    <w:link w:val="Retraitcorpsdetexte3"/>
    <w:rsid w:val="006C5B5F"/>
    <w:rPr>
      <w:rFonts w:ascii="Calibri" w:eastAsia="Times New Roman" w:hAnsi="Calibri" w:cs="Calibri"/>
      <w:color w:val="FF0000"/>
      <w:sz w:val="28"/>
      <w:szCs w:val="28"/>
      <w:lang w:eastAsia="fr-FR"/>
    </w:rPr>
  </w:style>
  <w:style w:type="character" w:customStyle="1" w:styleId="Titre1Car">
    <w:name w:val="Titre 1 Car"/>
    <w:basedOn w:val="Policepardfaut"/>
    <w:link w:val="Titre1"/>
    <w:uiPriority w:val="9"/>
    <w:rsid w:val="00CD2B3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D2B3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D2B3F"/>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CD2B3F"/>
    <w:pPr>
      <w:outlineLvl w:val="9"/>
    </w:pPr>
  </w:style>
  <w:style w:type="paragraph" w:styleId="TM1">
    <w:name w:val="toc 1"/>
    <w:basedOn w:val="Normal"/>
    <w:next w:val="Normal"/>
    <w:autoRedefine/>
    <w:uiPriority w:val="39"/>
    <w:unhideWhenUsed/>
    <w:rsid w:val="00CD2B3F"/>
    <w:pPr>
      <w:spacing w:after="100"/>
    </w:pPr>
  </w:style>
  <w:style w:type="paragraph" w:styleId="TM2">
    <w:name w:val="toc 2"/>
    <w:basedOn w:val="Normal"/>
    <w:next w:val="Normal"/>
    <w:autoRedefine/>
    <w:uiPriority w:val="39"/>
    <w:unhideWhenUsed/>
    <w:rsid w:val="00CD2B3F"/>
    <w:pPr>
      <w:spacing w:after="100"/>
      <w:ind w:left="220"/>
    </w:pPr>
  </w:style>
  <w:style w:type="paragraph" w:styleId="TM3">
    <w:name w:val="toc 3"/>
    <w:basedOn w:val="Normal"/>
    <w:next w:val="Normal"/>
    <w:autoRedefine/>
    <w:uiPriority w:val="39"/>
    <w:unhideWhenUsed/>
    <w:rsid w:val="00CD2B3F"/>
    <w:pPr>
      <w:spacing w:after="100"/>
      <w:ind w:left="440"/>
    </w:pPr>
  </w:style>
  <w:style w:type="character" w:styleId="Lienhypertexte">
    <w:name w:val="Hyperlink"/>
    <w:basedOn w:val="Policepardfaut"/>
    <w:uiPriority w:val="99"/>
    <w:unhideWhenUsed/>
    <w:rsid w:val="00CD2B3F"/>
    <w:rPr>
      <w:color w:val="0000FF" w:themeColor="hyperlink"/>
      <w:u w:val="single"/>
    </w:rPr>
  </w:style>
  <w:style w:type="paragraph" w:styleId="Textedebulles">
    <w:name w:val="Balloon Text"/>
    <w:basedOn w:val="Normal"/>
    <w:link w:val="TextedebullesCar"/>
    <w:uiPriority w:val="99"/>
    <w:semiHidden/>
    <w:unhideWhenUsed/>
    <w:rsid w:val="00CD2B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2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Feuille_Microsoft_Office_Excel_97-20032.xls"/><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Feuille_Microsoft_Office_Excel_97-20031.xls"/><Relationship Id="rId5" Type="http://schemas.openxmlformats.org/officeDocument/2006/relationships/footnotes" Target="footnotes.xml"/><Relationship Id="rId15" Type="http://schemas.openxmlformats.org/officeDocument/2006/relationships/oleObject" Target="file:///D:\INDICATEURS%202013\indicateurs%20annuels%20%20s&#233;lectionn&#233;s%202012.xlsx!A!L1C1:L55C11"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0F6AE-9865-4A70-AC6F-E075EE86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2324</Words>
  <Characters>12787</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NGMA</dc:creator>
  <cp:lastModifiedBy>KAIM</cp:lastModifiedBy>
  <cp:revision>13</cp:revision>
  <cp:lastPrinted>2013-12-30T09:25:00Z</cp:lastPrinted>
  <dcterms:created xsi:type="dcterms:W3CDTF">2013-12-23T12:36:00Z</dcterms:created>
  <dcterms:modified xsi:type="dcterms:W3CDTF">2013-12-30T09:26:00Z</dcterms:modified>
</cp:coreProperties>
</file>