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E0" w:rsidRDefault="00DF0A43">
      <w:pPr>
        <w:pStyle w:val="En-ttedetabledesmatires"/>
        <w:rPr>
          <w:rFonts w:ascii="Calibri" w:hAnsi="Calibri"/>
          <w:color w:val="00B0F0"/>
          <w:sz w:val="24"/>
        </w:rPr>
      </w:pPr>
      <w:bookmarkStart w:id="0" w:name="_Toc370719667"/>
      <w:bookmarkStart w:id="1" w:name="_Toc370719868"/>
      <w:bookmarkStart w:id="2" w:name="_Toc370720731"/>
      <w:bookmarkStart w:id="3" w:name="_Toc370461785"/>
      <w:bookmarkStart w:id="4" w:name="_Toc370461986"/>
      <w:bookmarkStart w:id="5" w:name="_Toc370462079"/>
      <w:r w:rsidRPr="003D78CB">
        <w:rPr>
          <w:rFonts w:ascii="Calibri" w:hAnsi="Calibri"/>
          <w:color w:val="00B0F0"/>
          <w:sz w:val="24"/>
        </w:rPr>
        <w:t>TABLE DES MATIERES</w:t>
      </w:r>
      <w:bookmarkEnd w:id="0"/>
      <w:bookmarkEnd w:id="1"/>
      <w:bookmarkEnd w:id="2"/>
    </w:p>
    <w:sdt>
      <w:sdtPr>
        <w:rPr>
          <w:rFonts w:asciiTheme="minorHAnsi" w:eastAsiaTheme="minorHAnsi" w:hAnsiTheme="minorHAnsi" w:cstheme="minorBidi"/>
          <w:b w:val="0"/>
          <w:bCs w:val="0"/>
          <w:color w:val="auto"/>
          <w:sz w:val="22"/>
          <w:szCs w:val="22"/>
        </w:rPr>
        <w:id w:val="10296962"/>
        <w:docPartObj>
          <w:docPartGallery w:val="Table of Contents"/>
          <w:docPartUnique/>
        </w:docPartObj>
      </w:sdtPr>
      <w:sdtEndPr>
        <w:rPr>
          <w:sz w:val="24"/>
        </w:rPr>
      </w:sdtEndPr>
      <w:sdtContent>
        <w:p w:rsidR="001D6376" w:rsidRDefault="001D6376">
          <w:pPr>
            <w:pStyle w:val="En-ttedetabledesmatires"/>
          </w:pPr>
        </w:p>
        <w:p w:rsidR="001D6376" w:rsidRPr="006811D0" w:rsidRDefault="00BE7308" w:rsidP="006811D0">
          <w:pPr>
            <w:pStyle w:val="TM1"/>
            <w:rPr>
              <w:rFonts w:eastAsiaTheme="minorEastAsia"/>
              <w:lang w:eastAsia="fr-FR"/>
            </w:rPr>
          </w:pPr>
          <w:r w:rsidRPr="00BE7308">
            <w:rPr>
              <w:lang w:val="fr-FR"/>
            </w:rPr>
            <w:fldChar w:fldCharType="begin"/>
          </w:r>
          <w:r w:rsidR="001D6376" w:rsidRPr="006811D0">
            <w:rPr>
              <w:lang w:val="fr-FR"/>
            </w:rPr>
            <w:instrText xml:space="preserve"> TOC \o "1-3" \h \z \u </w:instrText>
          </w:r>
          <w:r w:rsidRPr="00BE7308">
            <w:rPr>
              <w:lang w:val="fr-FR"/>
            </w:rPr>
            <w:fldChar w:fldCharType="separate"/>
          </w:r>
          <w:hyperlink w:anchor="_Toc370721642" w:history="1">
            <w:r w:rsidR="001D6376" w:rsidRPr="006811D0">
              <w:rPr>
                <w:rStyle w:val="Lienhypertexte"/>
              </w:rPr>
              <w:t>I.INTRODUCTION</w:t>
            </w:r>
            <w:r w:rsidR="001D6376" w:rsidRPr="006811D0">
              <w:rPr>
                <w:webHidden/>
              </w:rPr>
              <w:tab/>
            </w:r>
            <w:r w:rsidRPr="006811D0">
              <w:rPr>
                <w:webHidden/>
              </w:rPr>
              <w:fldChar w:fldCharType="begin"/>
            </w:r>
            <w:r w:rsidR="001D6376" w:rsidRPr="006811D0">
              <w:rPr>
                <w:webHidden/>
              </w:rPr>
              <w:instrText xml:space="preserve"> PAGEREF _Toc370721642 \h </w:instrText>
            </w:r>
            <w:r w:rsidRPr="006811D0">
              <w:rPr>
                <w:webHidden/>
              </w:rPr>
            </w:r>
            <w:r w:rsidRPr="006811D0">
              <w:rPr>
                <w:webHidden/>
              </w:rPr>
              <w:fldChar w:fldCharType="separate"/>
            </w:r>
            <w:r w:rsidR="00591D4E">
              <w:rPr>
                <w:webHidden/>
              </w:rPr>
              <w:t>1</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43" w:history="1">
            <w:r w:rsidR="001D6376" w:rsidRPr="006811D0">
              <w:rPr>
                <w:rStyle w:val="Lienhypertexte"/>
              </w:rPr>
              <w:t>II. PRODUCTION</w:t>
            </w:r>
            <w:r w:rsidR="001D6376" w:rsidRPr="006811D0">
              <w:rPr>
                <w:webHidden/>
              </w:rPr>
              <w:tab/>
            </w:r>
            <w:r w:rsidRPr="006811D0">
              <w:rPr>
                <w:webHidden/>
              </w:rPr>
              <w:fldChar w:fldCharType="begin"/>
            </w:r>
            <w:r w:rsidR="001D6376" w:rsidRPr="006811D0">
              <w:rPr>
                <w:webHidden/>
              </w:rPr>
              <w:instrText xml:space="preserve"> PAGEREF _Toc370721643 \h </w:instrText>
            </w:r>
            <w:r w:rsidRPr="006811D0">
              <w:rPr>
                <w:webHidden/>
              </w:rPr>
            </w:r>
            <w:r w:rsidRPr="006811D0">
              <w:rPr>
                <w:webHidden/>
              </w:rPr>
              <w:fldChar w:fldCharType="separate"/>
            </w:r>
            <w:r w:rsidR="00591D4E">
              <w:rPr>
                <w:webHidden/>
              </w:rPr>
              <w:t>1</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44" w:history="1">
            <w:r w:rsidR="001D6376" w:rsidRPr="006811D0">
              <w:rPr>
                <w:rStyle w:val="Lienhypertexte"/>
                <w:b w:val="0"/>
              </w:rPr>
              <w:t>Indice de la production industrielle</w:t>
            </w:r>
            <w:r w:rsidR="001D6376" w:rsidRPr="006811D0">
              <w:rPr>
                <w:webHidden/>
              </w:rPr>
              <w:tab/>
            </w:r>
            <w:r w:rsidRPr="006811D0">
              <w:rPr>
                <w:webHidden/>
              </w:rPr>
              <w:fldChar w:fldCharType="begin"/>
            </w:r>
            <w:r w:rsidR="001D6376" w:rsidRPr="006811D0">
              <w:rPr>
                <w:webHidden/>
              </w:rPr>
              <w:instrText xml:space="preserve"> PAGEREF _Toc370721644 \h </w:instrText>
            </w:r>
            <w:r w:rsidRPr="006811D0">
              <w:rPr>
                <w:webHidden/>
              </w:rPr>
            </w:r>
            <w:r w:rsidRPr="006811D0">
              <w:rPr>
                <w:webHidden/>
              </w:rPr>
              <w:fldChar w:fldCharType="separate"/>
            </w:r>
            <w:r w:rsidR="00591D4E">
              <w:rPr>
                <w:webHidden/>
              </w:rPr>
              <w:t>1</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45" w:history="1">
            <w:r w:rsidR="001D6376" w:rsidRPr="006811D0">
              <w:rPr>
                <w:rStyle w:val="Lienhypertexte"/>
                <w:b w:val="0"/>
              </w:rPr>
              <w:t>Café</w:t>
            </w:r>
            <w:r w:rsidR="001D6376" w:rsidRPr="006811D0">
              <w:rPr>
                <w:webHidden/>
              </w:rPr>
              <w:tab/>
            </w:r>
            <w:r w:rsidRPr="006811D0">
              <w:rPr>
                <w:webHidden/>
              </w:rPr>
              <w:fldChar w:fldCharType="begin"/>
            </w:r>
            <w:r w:rsidR="001D6376" w:rsidRPr="006811D0">
              <w:rPr>
                <w:webHidden/>
              </w:rPr>
              <w:instrText xml:space="preserve"> PAGEREF _Toc370721645 \h </w:instrText>
            </w:r>
            <w:r w:rsidRPr="006811D0">
              <w:rPr>
                <w:webHidden/>
              </w:rPr>
            </w:r>
            <w:r w:rsidRPr="006811D0">
              <w:rPr>
                <w:webHidden/>
              </w:rPr>
              <w:fldChar w:fldCharType="separate"/>
            </w:r>
            <w:r w:rsidR="00591D4E">
              <w:rPr>
                <w:webHidden/>
              </w:rPr>
              <w:t>1</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46" w:history="1">
            <w:r w:rsidR="001D6376" w:rsidRPr="006811D0">
              <w:rPr>
                <w:rStyle w:val="Lienhypertexte"/>
                <w:b w:val="0"/>
              </w:rPr>
              <w:t>Thé</w:t>
            </w:r>
            <w:r w:rsidR="001D6376" w:rsidRPr="006811D0">
              <w:rPr>
                <w:webHidden/>
              </w:rPr>
              <w:tab/>
            </w:r>
            <w:r w:rsidRPr="006811D0">
              <w:rPr>
                <w:webHidden/>
              </w:rPr>
              <w:fldChar w:fldCharType="begin"/>
            </w:r>
            <w:r w:rsidR="001D6376" w:rsidRPr="006811D0">
              <w:rPr>
                <w:webHidden/>
              </w:rPr>
              <w:instrText xml:space="preserve"> PAGEREF _Toc370721646 \h </w:instrText>
            </w:r>
            <w:r w:rsidRPr="006811D0">
              <w:rPr>
                <w:webHidden/>
              </w:rPr>
            </w:r>
            <w:r w:rsidRPr="006811D0">
              <w:rPr>
                <w:webHidden/>
              </w:rPr>
              <w:fldChar w:fldCharType="separate"/>
            </w:r>
            <w:r w:rsidR="00591D4E">
              <w:rPr>
                <w:webHidden/>
              </w:rPr>
              <w:t>1</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47" w:history="1">
            <w:r w:rsidR="001D6376" w:rsidRPr="006811D0">
              <w:rPr>
                <w:rStyle w:val="Lienhypertexte"/>
              </w:rPr>
              <w:t>III.INDICE DES PRIX À LA CONSOMMATION</w:t>
            </w:r>
            <w:r w:rsidR="001D6376" w:rsidRPr="006811D0">
              <w:rPr>
                <w:webHidden/>
              </w:rPr>
              <w:tab/>
            </w:r>
            <w:r w:rsidRPr="006811D0">
              <w:rPr>
                <w:webHidden/>
              </w:rPr>
              <w:fldChar w:fldCharType="begin"/>
            </w:r>
            <w:r w:rsidR="001D6376" w:rsidRPr="006811D0">
              <w:rPr>
                <w:webHidden/>
              </w:rPr>
              <w:instrText xml:space="preserve"> PAGEREF _Toc370721647 \h </w:instrText>
            </w:r>
            <w:r w:rsidRPr="006811D0">
              <w:rPr>
                <w:webHidden/>
              </w:rPr>
            </w:r>
            <w:r w:rsidRPr="006811D0">
              <w:rPr>
                <w:webHidden/>
              </w:rPr>
              <w:fldChar w:fldCharType="separate"/>
            </w:r>
            <w:r w:rsidR="00591D4E">
              <w:rPr>
                <w:webHidden/>
              </w:rPr>
              <w:t>1</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48" w:history="1">
            <w:r w:rsidR="001D6376" w:rsidRPr="006811D0">
              <w:rPr>
                <w:rStyle w:val="Lienhypertexte"/>
              </w:rPr>
              <w:t>IV. FINANCES PUBLIQUES</w:t>
            </w:r>
            <w:r w:rsidR="001D6376" w:rsidRPr="006811D0">
              <w:rPr>
                <w:webHidden/>
              </w:rPr>
              <w:tab/>
            </w:r>
            <w:r w:rsidRPr="006811D0">
              <w:rPr>
                <w:webHidden/>
              </w:rPr>
              <w:fldChar w:fldCharType="begin"/>
            </w:r>
            <w:r w:rsidR="001D6376" w:rsidRPr="006811D0">
              <w:rPr>
                <w:webHidden/>
              </w:rPr>
              <w:instrText xml:space="preserve"> PAGEREF _Toc370721648 \h </w:instrText>
            </w:r>
            <w:r w:rsidRPr="006811D0">
              <w:rPr>
                <w:webHidden/>
              </w:rPr>
            </w:r>
            <w:r w:rsidRPr="006811D0">
              <w:rPr>
                <w:webHidden/>
              </w:rPr>
              <w:fldChar w:fldCharType="separate"/>
            </w:r>
            <w:r w:rsidR="00591D4E">
              <w:rPr>
                <w:webHidden/>
              </w:rPr>
              <w:t>2</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49" w:history="1">
            <w:r w:rsidR="001D6376" w:rsidRPr="006811D0">
              <w:rPr>
                <w:rStyle w:val="Lienhypertexte"/>
                <w:b w:val="0"/>
              </w:rPr>
              <w:t>Recettes</w:t>
            </w:r>
            <w:r w:rsidR="001D6376" w:rsidRPr="006811D0">
              <w:rPr>
                <w:webHidden/>
              </w:rPr>
              <w:tab/>
            </w:r>
            <w:r w:rsidRPr="006811D0">
              <w:rPr>
                <w:webHidden/>
              </w:rPr>
              <w:fldChar w:fldCharType="begin"/>
            </w:r>
            <w:r w:rsidR="001D6376" w:rsidRPr="006811D0">
              <w:rPr>
                <w:webHidden/>
              </w:rPr>
              <w:instrText xml:space="preserve"> PAGEREF _Toc370721649 \h </w:instrText>
            </w:r>
            <w:r w:rsidRPr="006811D0">
              <w:rPr>
                <w:webHidden/>
              </w:rPr>
            </w:r>
            <w:r w:rsidRPr="006811D0">
              <w:rPr>
                <w:webHidden/>
              </w:rPr>
              <w:fldChar w:fldCharType="separate"/>
            </w:r>
            <w:r w:rsidR="00591D4E">
              <w:rPr>
                <w:webHidden/>
              </w:rPr>
              <w:t>2</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0" w:history="1">
            <w:r w:rsidR="001D6376" w:rsidRPr="006811D0">
              <w:rPr>
                <w:rStyle w:val="Lienhypertexte"/>
                <w:b w:val="0"/>
              </w:rPr>
              <w:t>Dépenses</w:t>
            </w:r>
            <w:r w:rsidR="001D6376" w:rsidRPr="006811D0">
              <w:rPr>
                <w:webHidden/>
              </w:rPr>
              <w:tab/>
            </w:r>
            <w:r w:rsidRPr="006811D0">
              <w:rPr>
                <w:webHidden/>
              </w:rPr>
              <w:fldChar w:fldCharType="begin"/>
            </w:r>
            <w:r w:rsidR="001D6376" w:rsidRPr="006811D0">
              <w:rPr>
                <w:webHidden/>
              </w:rPr>
              <w:instrText xml:space="preserve"> PAGEREF _Toc370721650 \h </w:instrText>
            </w:r>
            <w:r w:rsidRPr="006811D0">
              <w:rPr>
                <w:webHidden/>
              </w:rPr>
            </w:r>
            <w:r w:rsidRPr="006811D0">
              <w:rPr>
                <w:webHidden/>
              </w:rPr>
              <w:fldChar w:fldCharType="separate"/>
            </w:r>
            <w:r w:rsidR="00591D4E">
              <w:rPr>
                <w:webHidden/>
              </w:rPr>
              <w:t>2</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1" w:history="1">
            <w:r w:rsidR="001D6376" w:rsidRPr="006811D0">
              <w:rPr>
                <w:rStyle w:val="Lienhypertexte"/>
                <w:b w:val="0"/>
              </w:rPr>
              <w:t>Dette publique</w:t>
            </w:r>
            <w:r w:rsidR="001D6376" w:rsidRPr="006811D0">
              <w:rPr>
                <w:webHidden/>
              </w:rPr>
              <w:tab/>
            </w:r>
            <w:r w:rsidRPr="006811D0">
              <w:rPr>
                <w:webHidden/>
              </w:rPr>
              <w:fldChar w:fldCharType="begin"/>
            </w:r>
            <w:r w:rsidR="001D6376" w:rsidRPr="006811D0">
              <w:rPr>
                <w:webHidden/>
              </w:rPr>
              <w:instrText xml:space="preserve"> PAGEREF _Toc370721651 \h </w:instrText>
            </w:r>
            <w:r w:rsidRPr="006811D0">
              <w:rPr>
                <w:webHidden/>
              </w:rPr>
            </w:r>
            <w:r w:rsidRPr="006811D0">
              <w:rPr>
                <w:webHidden/>
              </w:rPr>
              <w:fldChar w:fldCharType="separate"/>
            </w:r>
            <w:r w:rsidR="00591D4E">
              <w:rPr>
                <w:webHidden/>
              </w:rPr>
              <w:t>2</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2" w:history="1">
            <w:r w:rsidR="001D6376" w:rsidRPr="006811D0">
              <w:rPr>
                <w:rStyle w:val="Lienhypertexte"/>
                <w:b w:val="0"/>
              </w:rPr>
              <w:t>- Dette intérieure</w:t>
            </w:r>
            <w:r w:rsidR="001D6376" w:rsidRPr="006811D0">
              <w:rPr>
                <w:webHidden/>
              </w:rPr>
              <w:tab/>
            </w:r>
            <w:r w:rsidRPr="006811D0">
              <w:rPr>
                <w:webHidden/>
              </w:rPr>
              <w:fldChar w:fldCharType="begin"/>
            </w:r>
            <w:r w:rsidR="001D6376" w:rsidRPr="006811D0">
              <w:rPr>
                <w:webHidden/>
              </w:rPr>
              <w:instrText xml:space="preserve"> PAGEREF _Toc370721652 \h </w:instrText>
            </w:r>
            <w:r w:rsidRPr="006811D0">
              <w:rPr>
                <w:webHidden/>
              </w:rPr>
            </w:r>
            <w:r w:rsidRPr="006811D0">
              <w:rPr>
                <w:webHidden/>
              </w:rPr>
              <w:fldChar w:fldCharType="separate"/>
            </w:r>
            <w:r w:rsidR="00591D4E">
              <w:rPr>
                <w:webHidden/>
              </w:rPr>
              <w:t>2</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3" w:history="1">
            <w:r w:rsidR="001D6376" w:rsidRPr="006811D0">
              <w:rPr>
                <w:rStyle w:val="Lienhypertexte"/>
                <w:b w:val="0"/>
              </w:rPr>
              <w:t>- Dette extérieure</w:t>
            </w:r>
            <w:r w:rsidR="001D6376" w:rsidRPr="006811D0">
              <w:rPr>
                <w:webHidden/>
              </w:rPr>
              <w:tab/>
            </w:r>
            <w:r w:rsidRPr="006811D0">
              <w:rPr>
                <w:webHidden/>
              </w:rPr>
              <w:fldChar w:fldCharType="begin"/>
            </w:r>
            <w:r w:rsidR="001D6376" w:rsidRPr="006811D0">
              <w:rPr>
                <w:webHidden/>
              </w:rPr>
              <w:instrText xml:space="preserve"> PAGEREF _Toc370721653 \h </w:instrText>
            </w:r>
            <w:r w:rsidRPr="006811D0">
              <w:rPr>
                <w:webHidden/>
              </w:rPr>
            </w:r>
            <w:r w:rsidRPr="006811D0">
              <w:rPr>
                <w:webHidden/>
              </w:rPr>
              <w:fldChar w:fldCharType="separate"/>
            </w:r>
            <w:r w:rsidR="00591D4E">
              <w:rPr>
                <w:webHidden/>
              </w:rPr>
              <w:t>3</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4" w:history="1">
            <w:r w:rsidR="001D6376" w:rsidRPr="006811D0">
              <w:rPr>
                <w:rStyle w:val="Lienhypertexte"/>
              </w:rPr>
              <w:t>V. BASE MONETAIRE, MASSE MONETAIRE ET SES CONTREPARTIES</w:t>
            </w:r>
            <w:r w:rsidR="001D6376" w:rsidRPr="006811D0">
              <w:rPr>
                <w:webHidden/>
              </w:rPr>
              <w:tab/>
            </w:r>
            <w:r w:rsidRPr="006811D0">
              <w:rPr>
                <w:webHidden/>
              </w:rPr>
              <w:fldChar w:fldCharType="begin"/>
            </w:r>
            <w:r w:rsidR="001D6376" w:rsidRPr="006811D0">
              <w:rPr>
                <w:webHidden/>
              </w:rPr>
              <w:instrText xml:space="preserve"> PAGEREF _Toc370721654 \h </w:instrText>
            </w:r>
            <w:r w:rsidRPr="006811D0">
              <w:rPr>
                <w:webHidden/>
              </w:rPr>
            </w:r>
            <w:r w:rsidRPr="006811D0">
              <w:rPr>
                <w:webHidden/>
              </w:rPr>
              <w:fldChar w:fldCharType="separate"/>
            </w:r>
            <w:r w:rsidR="00591D4E">
              <w:rPr>
                <w:webHidden/>
              </w:rPr>
              <w:t>3</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5" w:history="1">
            <w:r w:rsidR="001D6376" w:rsidRPr="006811D0">
              <w:rPr>
                <w:rStyle w:val="Lienhypertexte"/>
                <w:b w:val="0"/>
              </w:rPr>
              <w:t>Base monétaire</w:t>
            </w:r>
            <w:r w:rsidR="001D6376" w:rsidRPr="006811D0">
              <w:rPr>
                <w:webHidden/>
              </w:rPr>
              <w:tab/>
            </w:r>
            <w:r w:rsidRPr="006811D0">
              <w:rPr>
                <w:webHidden/>
              </w:rPr>
              <w:fldChar w:fldCharType="begin"/>
            </w:r>
            <w:r w:rsidR="001D6376" w:rsidRPr="006811D0">
              <w:rPr>
                <w:webHidden/>
              </w:rPr>
              <w:instrText xml:space="preserve"> PAGEREF _Toc370721655 \h </w:instrText>
            </w:r>
            <w:r w:rsidRPr="006811D0">
              <w:rPr>
                <w:webHidden/>
              </w:rPr>
            </w:r>
            <w:r w:rsidRPr="006811D0">
              <w:rPr>
                <w:webHidden/>
              </w:rPr>
              <w:fldChar w:fldCharType="separate"/>
            </w:r>
            <w:r w:rsidR="00591D4E">
              <w:rPr>
                <w:webHidden/>
              </w:rPr>
              <w:t>3</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6" w:history="1">
            <w:r w:rsidR="001D6376" w:rsidRPr="006811D0">
              <w:rPr>
                <w:rStyle w:val="Lienhypertexte"/>
                <w:b w:val="0"/>
              </w:rPr>
              <w:t>Masse monétaire</w:t>
            </w:r>
            <w:r w:rsidR="001D6376" w:rsidRPr="006811D0">
              <w:rPr>
                <w:webHidden/>
              </w:rPr>
              <w:tab/>
            </w:r>
            <w:r w:rsidRPr="006811D0">
              <w:rPr>
                <w:webHidden/>
              </w:rPr>
              <w:fldChar w:fldCharType="begin"/>
            </w:r>
            <w:r w:rsidR="001D6376" w:rsidRPr="006811D0">
              <w:rPr>
                <w:webHidden/>
              </w:rPr>
              <w:instrText xml:space="preserve"> PAGEREF _Toc370721656 \h </w:instrText>
            </w:r>
            <w:r w:rsidRPr="006811D0">
              <w:rPr>
                <w:webHidden/>
              </w:rPr>
            </w:r>
            <w:r w:rsidRPr="006811D0">
              <w:rPr>
                <w:webHidden/>
              </w:rPr>
              <w:fldChar w:fldCharType="separate"/>
            </w:r>
            <w:r w:rsidR="00591D4E">
              <w:rPr>
                <w:webHidden/>
              </w:rPr>
              <w:t>3</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7" w:history="1">
            <w:r w:rsidR="001D6376" w:rsidRPr="006811D0">
              <w:rPr>
                <w:rStyle w:val="Lienhypertexte"/>
                <w:b w:val="0"/>
              </w:rPr>
              <w:t>Contreparties</w:t>
            </w:r>
            <w:r w:rsidR="001D6376" w:rsidRPr="006811D0">
              <w:rPr>
                <w:webHidden/>
              </w:rPr>
              <w:tab/>
            </w:r>
            <w:r w:rsidRPr="006811D0">
              <w:rPr>
                <w:webHidden/>
              </w:rPr>
              <w:fldChar w:fldCharType="begin"/>
            </w:r>
            <w:r w:rsidR="001D6376" w:rsidRPr="006811D0">
              <w:rPr>
                <w:webHidden/>
              </w:rPr>
              <w:instrText xml:space="preserve"> PAGEREF _Toc370721657 \h </w:instrText>
            </w:r>
            <w:r w:rsidRPr="006811D0">
              <w:rPr>
                <w:webHidden/>
              </w:rPr>
            </w:r>
            <w:r w:rsidRPr="006811D0">
              <w:rPr>
                <w:webHidden/>
              </w:rPr>
              <w:fldChar w:fldCharType="separate"/>
            </w:r>
            <w:r w:rsidR="00591D4E">
              <w:rPr>
                <w:webHidden/>
              </w:rPr>
              <w:t>4</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8" w:history="1">
            <w:r w:rsidR="001D6376" w:rsidRPr="006811D0">
              <w:rPr>
                <w:rStyle w:val="Lienhypertexte"/>
              </w:rPr>
              <w:t>VI. COMMERCE EXTÉRIEUR</w:t>
            </w:r>
            <w:r w:rsidR="001D6376" w:rsidRPr="006811D0">
              <w:rPr>
                <w:webHidden/>
              </w:rPr>
              <w:tab/>
            </w:r>
            <w:r w:rsidRPr="006811D0">
              <w:rPr>
                <w:webHidden/>
              </w:rPr>
              <w:fldChar w:fldCharType="begin"/>
            </w:r>
            <w:r w:rsidR="001D6376" w:rsidRPr="006811D0">
              <w:rPr>
                <w:webHidden/>
              </w:rPr>
              <w:instrText xml:space="preserve"> PAGEREF _Toc370721658 \h </w:instrText>
            </w:r>
            <w:r w:rsidRPr="006811D0">
              <w:rPr>
                <w:webHidden/>
              </w:rPr>
            </w:r>
            <w:r w:rsidRPr="006811D0">
              <w:rPr>
                <w:webHidden/>
              </w:rPr>
              <w:fldChar w:fldCharType="separate"/>
            </w:r>
            <w:r w:rsidR="00591D4E">
              <w:rPr>
                <w:webHidden/>
              </w:rPr>
              <w:t>4</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59" w:history="1">
            <w:r w:rsidR="001D6376" w:rsidRPr="006811D0">
              <w:rPr>
                <w:rStyle w:val="Lienhypertexte"/>
                <w:b w:val="0"/>
              </w:rPr>
              <w:t>Exportations</w:t>
            </w:r>
            <w:r w:rsidR="001D6376" w:rsidRPr="006811D0">
              <w:rPr>
                <w:webHidden/>
              </w:rPr>
              <w:tab/>
            </w:r>
            <w:r w:rsidRPr="006811D0">
              <w:rPr>
                <w:webHidden/>
              </w:rPr>
              <w:fldChar w:fldCharType="begin"/>
            </w:r>
            <w:r w:rsidR="001D6376" w:rsidRPr="006811D0">
              <w:rPr>
                <w:webHidden/>
              </w:rPr>
              <w:instrText xml:space="preserve"> PAGEREF _Toc370721659 \h </w:instrText>
            </w:r>
            <w:r w:rsidRPr="006811D0">
              <w:rPr>
                <w:webHidden/>
              </w:rPr>
            </w:r>
            <w:r w:rsidRPr="006811D0">
              <w:rPr>
                <w:webHidden/>
              </w:rPr>
              <w:fldChar w:fldCharType="separate"/>
            </w:r>
            <w:r w:rsidR="00591D4E">
              <w:rPr>
                <w:webHidden/>
              </w:rPr>
              <w:t>4</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60" w:history="1">
            <w:r w:rsidR="001D6376" w:rsidRPr="006811D0">
              <w:rPr>
                <w:rStyle w:val="Lienhypertexte"/>
                <w:b w:val="0"/>
              </w:rPr>
              <w:t>Importations</w:t>
            </w:r>
            <w:r w:rsidR="001D6376" w:rsidRPr="006811D0">
              <w:rPr>
                <w:webHidden/>
              </w:rPr>
              <w:tab/>
            </w:r>
            <w:r w:rsidRPr="006811D0">
              <w:rPr>
                <w:webHidden/>
              </w:rPr>
              <w:fldChar w:fldCharType="begin"/>
            </w:r>
            <w:r w:rsidR="001D6376" w:rsidRPr="006811D0">
              <w:rPr>
                <w:webHidden/>
              </w:rPr>
              <w:instrText xml:space="preserve"> PAGEREF _Toc370721660 \h </w:instrText>
            </w:r>
            <w:r w:rsidRPr="006811D0">
              <w:rPr>
                <w:webHidden/>
              </w:rPr>
            </w:r>
            <w:r w:rsidRPr="006811D0">
              <w:rPr>
                <w:webHidden/>
              </w:rPr>
              <w:fldChar w:fldCharType="separate"/>
            </w:r>
            <w:r w:rsidR="00591D4E">
              <w:rPr>
                <w:webHidden/>
              </w:rPr>
              <w:t>4</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61" w:history="1">
            <w:r w:rsidR="001D6376" w:rsidRPr="006811D0">
              <w:rPr>
                <w:rStyle w:val="Lienhypertexte"/>
              </w:rPr>
              <w:t>VII. TAUX DE CHANGE</w:t>
            </w:r>
            <w:r w:rsidR="001D6376" w:rsidRPr="006811D0">
              <w:rPr>
                <w:webHidden/>
              </w:rPr>
              <w:tab/>
            </w:r>
            <w:r w:rsidRPr="006811D0">
              <w:rPr>
                <w:webHidden/>
              </w:rPr>
              <w:fldChar w:fldCharType="begin"/>
            </w:r>
            <w:r w:rsidR="001D6376" w:rsidRPr="006811D0">
              <w:rPr>
                <w:webHidden/>
              </w:rPr>
              <w:instrText xml:space="preserve"> PAGEREF _Toc370721661 \h </w:instrText>
            </w:r>
            <w:r w:rsidRPr="006811D0">
              <w:rPr>
                <w:webHidden/>
              </w:rPr>
            </w:r>
            <w:r w:rsidRPr="006811D0">
              <w:rPr>
                <w:webHidden/>
              </w:rPr>
              <w:fldChar w:fldCharType="separate"/>
            </w:r>
            <w:r w:rsidR="00591D4E">
              <w:rPr>
                <w:webHidden/>
              </w:rPr>
              <w:t>5</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62" w:history="1">
            <w:r w:rsidR="001D6376" w:rsidRPr="006811D0">
              <w:rPr>
                <w:rStyle w:val="Lienhypertexte"/>
              </w:rPr>
              <w:t>ANNEXE 1 : PRINCIPAUX INDICATEURS MENSUELS</w:t>
            </w:r>
            <w:r w:rsidR="001D6376" w:rsidRPr="006811D0">
              <w:rPr>
                <w:webHidden/>
              </w:rPr>
              <w:tab/>
            </w:r>
            <w:r w:rsidRPr="006811D0">
              <w:rPr>
                <w:webHidden/>
              </w:rPr>
              <w:fldChar w:fldCharType="begin"/>
            </w:r>
            <w:r w:rsidR="001D6376" w:rsidRPr="006811D0">
              <w:rPr>
                <w:webHidden/>
              </w:rPr>
              <w:instrText xml:space="preserve"> PAGEREF _Toc370721662 \h </w:instrText>
            </w:r>
            <w:r w:rsidRPr="006811D0">
              <w:rPr>
                <w:webHidden/>
              </w:rPr>
            </w:r>
            <w:r w:rsidRPr="006811D0">
              <w:rPr>
                <w:webHidden/>
              </w:rPr>
              <w:fldChar w:fldCharType="separate"/>
            </w:r>
            <w:r w:rsidR="00591D4E">
              <w:rPr>
                <w:webHidden/>
              </w:rPr>
              <w:t>6</w:t>
            </w:r>
            <w:r w:rsidRPr="006811D0">
              <w:rPr>
                <w:webHidden/>
              </w:rPr>
              <w:fldChar w:fldCharType="end"/>
            </w:r>
          </w:hyperlink>
        </w:p>
        <w:p w:rsidR="001D6376" w:rsidRPr="006811D0" w:rsidRDefault="00BE7308" w:rsidP="006811D0">
          <w:pPr>
            <w:pStyle w:val="TM1"/>
            <w:rPr>
              <w:rFonts w:eastAsiaTheme="minorEastAsia"/>
              <w:lang w:eastAsia="fr-FR"/>
            </w:rPr>
          </w:pPr>
          <w:hyperlink w:anchor="_Toc370721663" w:history="1">
            <w:r w:rsidR="001D6376" w:rsidRPr="006811D0">
              <w:rPr>
                <w:rStyle w:val="Lienhypertexte"/>
              </w:rPr>
              <w:t>ANNEXE 2 : PRINCIPAUX INDICATEURS ANNUELS</w:t>
            </w:r>
            <w:r w:rsidR="001D6376" w:rsidRPr="006811D0">
              <w:rPr>
                <w:webHidden/>
              </w:rPr>
              <w:tab/>
            </w:r>
            <w:r w:rsidRPr="006811D0">
              <w:rPr>
                <w:webHidden/>
              </w:rPr>
              <w:fldChar w:fldCharType="begin"/>
            </w:r>
            <w:r w:rsidR="001D6376" w:rsidRPr="006811D0">
              <w:rPr>
                <w:webHidden/>
              </w:rPr>
              <w:instrText xml:space="preserve"> PAGEREF _Toc370721663 \h </w:instrText>
            </w:r>
            <w:r w:rsidRPr="006811D0">
              <w:rPr>
                <w:webHidden/>
              </w:rPr>
            </w:r>
            <w:r w:rsidRPr="006811D0">
              <w:rPr>
                <w:webHidden/>
              </w:rPr>
              <w:fldChar w:fldCharType="separate"/>
            </w:r>
            <w:r w:rsidR="00591D4E">
              <w:rPr>
                <w:webHidden/>
              </w:rPr>
              <w:t>7</w:t>
            </w:r>
            <w:r w:rsidRPr="006811D0">
              <w:rPr>
                <w:webHidden/>
              </w:rPr>
              <w:fldChar w:fldCharType="end"/>
            </w:r>
          </w:hyperlink>
        </w:p>
        <w:p w:rsidR="001D6376" w:rsidRPr="006811D0" w:rsidRDefault="00BE7308">
          <w:pPr>
            <w:rPr>
              <w:sz w:val="24"/>
            </w:rPr>
          </w:pPr>
          <w:r w:rsidRPr="006811D0">
            <w:rPr>
              <w:sz w:val="24"/>
            </w:rPr>
            <w:fldChar w:fldCharType="end"/>
          </w:r>
        </w:p>
      </w:sdtContent>
    </w:sdt>
    <w:p w:rsidR="00DF0A43" w:rsidRPr="006811D0" w:rsidRDefault="00DF0A43" w:rsidP="00DF0A43">
      <w:pPr>
        <w:rPr>
          <w:sz w:val="24"/>
        </w:rPr>
      </w:pPr>
    </w:p>
    <w:p w:rsidR="00DF0A43" w:rsidRDefault="00DF0A43" w:rsidP="00DF0A43"/>
    <w:p w:rsidR="00DF0A43" w:rsidRDefault="00DF0A43" w:rsidP="00DF0A43"/>
    <w:p w:rsidR="00DF0A43" w:rsidRPr="00DF0A43" w:rsidRDefault="00DF0A43" w:rsidP="00DF0A43">
      <w:pPr>
        <w:sectPr w:rsidR="00DF0A43" w:rsidRPr="00DF0A43" w:rsidSect="00E15218">
          <w:headerReference w:type="default" r:id="rId8"/>
          <w:footerReference w:type="default" r:id="rId9"/>
          <w:headerReference w:type="first" r:id="rId10"/>
          <w:pgSz w:w="11906" w:h="16838"/>
          <w:pgMar w:top="1417" w:right="1417" w:bottom="1417" w:left="1417" w:header="720" w:footer="720" w:gutter="0"/>
          <w:pgNumType w:start="1"/>
          <w:cols w:space="720"/>
          <w:titlePg/>
          <w:docGrid w:linePitch="360"/>
        </w:sectPr>
      </w:pPr>
    </w:p>
    <w:p w:rsidR="00901893" w:rsidRPr="00901893" w:rsidRDefault="00901893" w:rsidP="003D78CB">
      <w:pPr>
        <w:pStyle w:val="Titre1"/>
        <w:spacing w:before="0" w:after="120"/>
      </w:pPr>
      <w:bookmarkStart w:id="6" w:name="_Toc370719668"/>
      <w:bookmarkStart w:id="7" w:name="_Toc370721307"/>
      <w:bookmarkStart w:id="8" w:name="_Toc370721642"/>
      <w:r w:rsidRPr="003D78CB">
        <w:rPr>
          <w:rFonts w:ascii="Calibri" w:hAnsi="Calibri"/>
          <w:color w:val="00B0F0"/>
          <w:sz w:val="24"/>
        </w:rPr>
        <w:lastRenderedPageBreak/>
        <w:t>I.</w:t>
      </w:r>
      <w:r w:rsidR="00FB0571" w:rsidRPr="003D78CB">
        <w:rPr>
          <w:rFonts w:ascii="Calibri" w:hAnsi="Calibri"/>
          <w:color w:val="00B0F0"/>
          <w:sz w:val="24"/>
        </w:rPr>
        <w:t>INTRODUCTION</w:t>
      </w:r>
      <w:bookmarkEnd w:id="3"/>
      <w:bookmarkEnd w:id="4"/>
      <w:bookmarkEnd w:id="5"/>
      <w:bookmarkEnd w:id="6"/>
      <w:bookmarkEnd w:id="7"/>
      <w:bookmarkEnd w:id="8"/>
    </w:p>
    <w:p w:rsidR="006057A5" w:rsidRDefault="00FB0571" w:rsidP="006057A5">
      <w:pPr>
        <w:widowControl w:val="0"/>
        <w:autoSpaceDE w:val="0"/>
        <w:autoSpaceDN w:val="0"/>
        <w:adjustRightInd w:val="0"/>
        <w:spacing w:after="120"/>
        <w:jc w:val="both"/>
        <w:rPr>
          <w:rFonts w:ascii="Calibri" w:hAnsi="Calibri"/>
          <w:sz w:val="24"/>
        </w:rPr>
      </w:pPr>
      <w:r w:rsidRPr="003D78CB">
        <w:rPr>
          <w:rFonts w:ascii="Calibri" w:hAnsi="Calibri"/>
          <w:sz w:val="24"/>
        </w:rPr>
        <w:t>Le commentaire sur les principaux indicateurs économiques porte sur l’évolution, à fin août 2013, de la production industrielle, du café, du thé et la situation des finances publiques en ce qui concerne les recettes, les dépenses et la dette publique extérieure et intérieure. Il aborde aussi l’évolution de la masse monétaire et de ses contreparties, les exportations, les importations, l’indice des prix à la consommation et le taux de change.</w:t>
      </w:r>
      <w:bookmarkStart w:id="9" w:name="_Toc370719669"/>
      <w:bookmarkStart w:id="10" w:name="_Toc370721308"/>
      <w:bookmarkStart w:id="11" w:name="_Toc370721643"/>
    </w:p>
    <w:p w:rsidR="006057A5" w:rsidRDefault="00FB0571" w:rsidP="006057A5">
      <w:pPr>
        <w:widowControl w:val="0"/>
        <w:autoSpaceDE w:val="0"/>
        <w:autoSpaceDN w:val="0"/>
        <w:adjustRightInd w:val="0"/>
        <w:spacing w:after="120"/>
        <w:jc w:val="both"/>
        <w:rPr>
          <w:rFonts w:ascii="Calibri" w:hAnsi="Calibri"/>
          <w:b/>
          <w:color w:val="00B0F0"/>
          <w:sz w:val="24"/>
        </w:rPr>
      </w:pPr>
      <w:r w:rsidRPr="006057A5">
        <w:rPr>
          <w:rFonts w:ascii="Calibri" w:hAnsi="Calibri"/>
          <w:b/>
          <w:color w:val="00B0F0"/>
          <w:sz w:val="24"/>
        </w:rPr>
        <w:t xml:space="preserve">II. </w:t>
      </w:r>
      <w:bookmarkStart w:id="12" w:name="_Toc370461786"/>
      <w:bookmarkStart w:id="13" w:name="_Toc370461987"/>
      <w:bookmarkStart w:id="14" w:name="_Toc370462080"/>
      <w:r w:rsidRPr="006057A5">
        <w:rPr>
          <w:rFonts w:ascii="Calibri" w:hAnsi="Calibri"/>
          <w:b/>
          <w:color w:val="00B0F0"/>
          <w:sz w:val="24"/>
        </w:rPr>
        <w:t>PRODUCTION</w:t>
      </w:r>
      <w:bookmarkStart w:id="15" w:name="_Toc370461787"/>
      <w:bookmarkStart w:id="16" w:name="_Toc370461988"/>
      <w:bookmarkStart w:id="17" w:name="_Toc370462081"/>
      <w:bookmarkStart w:id="18" w:name="_Toc370719670"/>
      <w:bookmarkStart w:id="19" w:name="_Toc370721309"/>
      <w:bookmarkStart w:id="20" w:name="_Toc370721644"/>
      <w:bookmarkEnd w:id="9"/>
      <w:bookmarkEnd w:id="10"/>
      <w:bookmarkEnd w:id="11"/>
      <w:bookmarkEnd w:id="12"/>
      <w:bookmarkEnd w:id="13"/>
      <w:bookmarkEnd w:id="14"/>
    </w:p>
    <w:p w:rsidR="00FB0571" w:rsidRPr="006057A5" w:rsidRDefault="00FB0571" w:rsidP="006057A5">
      <w:pPr>
        <w:widowControl w:val="0"/>
        <w:autoSpaceDE w:val="0"/>
        <w:autoSpaceDN w:val="0"/>
        <w:adjustRightInd w:val="0"/>
        <w:spacing w:after="120"/>
        <w:jc w:val="both"/>
        <w:rPr>
          <w:rFonts w:ascii="Calibri" w:hAnsi="Calibri"/>
          <w:b/>
          <w:bCs/>
          <w:color w:val="00B0F0"/>
          <w:sz w:val="24"/>
        </w:rPr>
      </w:pPr>
      <w:r w:rsidRPr="006057A5">
        <w:rPr>
          <w:rFonts w:ascii="Calibri" w:hAnsi="Calibri"/>
          <w:b/>
          <w:color w:val="00B0F0"/>
          <w:sz w:val="24"/>
        </w:rPr>
        <w:t>Indice de la production industrielle</w:t>
      </w:r>
      <w:bookmarkEnd w:id="15"/>
      <w:bookmarkEnd w:id="16"/>
      <w:bookmarkEnd w:id="17"/>
      <w:bookmarkEnd w:id="18"/>
      <w:bookmarkEnd w:id="19"/>
      <w:bookmarkEnd w:id="20"/>
    </w:p>
    <w:p w:rsidR="00FB0571" w:rsidRPr="00F86E1D" w:rsidRDefault="00FB0571" w:rsidP="00901893">
      <w:pPr>
        <w:spacing w:after="120"/>
        <w:jc w:val="both"/>
        <w:rPr>
          <w:rFonts w:ascii="Calibri" w:hAnsi="Calibri"/>
        </w:rPr>
      </w:pPr>
      <w:r>
        <w:rPr>
          <w:rFonts w:ascii="Calibri" w:hAnsi="Calibri"/>
        </w:rPr>
        <w:t>L</w:t>
      </w:r>
      <w:r w:rsidRPr="00F86E1D">
        <w:rPr>
          <w:rFonts w:ascii="Calibri" w:hAnsi="Calibri"/>
        </w:rPr>
        <w:t xml:space="preserve">a production industrielle </w:t>
      </w:r>
      <w:r>
        <w:rPr>
          <w:rFonts w:ascii="Calibri" w:hAnsi="Calibri"/>
        </w:rPr>
        <w:t>du mois d’août</w:t>
      </w:r>
      <w:r w:rsidRPr="00F86E1D">
        <w:rPr>
          <w:rFonts w:ascii="Calibri" w:hAnsi="Calibri"/>
        </w:rPr>
        <w:t xml:space="preserve"> 201</w:t>
      </w:r>
      <w:r>
        <w:rPr>
          <w:rFonts w:ascii="Calibri" w:hAnsi="Calibri"/>
        </w:rPr>
        <w:t xml:space="preserve">3 </w:t>
      </w:r>
      <w:r w:rsidRPr="00F86E1D">
        <w:rPr>
          <w:rFonts w:ascii="Calibri" w:hAnsi="Calibri"/>
        </w:rPr>
        <w:t xml:space="preserve">a </w:t>
      </w:r>
      <w:r>
        <w:rPr>
          <w:rFonts w:ascii="Calibri" w:hAnsi="Calibri"/>
        </w:rPr>
        <w:t xml:space="preserve">reculé </w:t>
      </w:r>
      <w:r w:rsidRPr="00F86E1D">
        <w:rPr>
          <w:rFonts w:ascii="Calibri" w:hAnsi="Calibri"/>
        </w:rPr>
        <w:t xml:space="preserve">par rapport à celle du mois </w:t>
      </w:r>
      <w:r>
        <w:rPr>
          <w:rFonts w:ascii="Calibri" w:hAnsi="Calibri"/>
        </w:rPr>
        <w:t>précédent</w:t>
      </w:r>
      <w:r w:rsidRPr="00F86E1D">
        <w:rPr>
          <w:rFonts w:ascii="Calibri" w:hAnsi="Calibri"/>
        </w:rPr>
        <w:t xml:space="preserve">. En effet, l’indice de la production industrielle </w:t>
      </w:r>
      <w:r>
        <w:rPr>
          <w:rFonts w:ascii="Calibri" w:hAnsi="Calibri"/>
        </w:rPr>
        <w:t xml:space="preserve">s’est établi à 173,1 contre 186,1, soit une diminution de 7,0 p.c. </w:t>
      </w:r>
      <w:r w:rsidRPr="00F86E1D">
        <w:rPr>
          <w:rFonts w:ascii="Calibri" w:hAnsi="Calibri"/>
        </w:rPr>
        <w:t xml:space="preserve">en </w:t>
      </w:r>
      <w:r>
        <w:rPr>
          <w:rFonts w:ascii="Calibri" w:hAnsi="Calibri"/>
        </w:rPr>
        <w:t>rapport principalement avec</w:t>
      </w:r>
      <w:r w:rsidRPr="00F86E1D">
        <w:rPr>
          <w:rFonts w:ascii="Calibri" w:hAnsi="Calibri"/>
        </w:rPr>
        <w:t xml:space="preserve"> la baisse de la production de boissons de la BRARUDI (-</w:t>
      </w:r>
      <w:r>
        <w:rPr>
          <w:rFonts w:ascii="Calibri" w:hAnsi="Calibri"/>
        </w:rPr>
        <w:t>2,0</w:t>
      </w:r>
      <w:r w:rsidRPr="00F86E1D">
        <w:rPr>
          <w:rFonts w:ascii="Calibri" w:hAnsi="Calibri"/>
        </w:rPr>
        <w:t xml:space="preserve"> p.c.</w:t>
      </w:r>
      <w:r>
        <w:rPr>
          <w:rFonts w:ascii="Calibri" w:hAnsi="Calibri"/>
        </w:rPr>
        <w:t>), de sucre (-9,2 p.c.) et</w:t>
      </w:r>
      <w:r w:rsidRPr="00F86E1D">
        <w:rPr>
          <w:rFonts w:ascii="Calibri" w:hAnsi="Calibri"/>
        </w:rPr>
        <w:t xml:space="preserve"> d</w:t>
      </w:r>
      <w:r>
        <w:rPr>
          <w:rFonts w:ascii="Calibri" w:hAnsi="Calibri"/>
        </w:rPr>
        <w:t>e cigarettes</w:t>
      </w:r>
      <w:r w:rsidRPr="00F86E1D">
        <w:rPr>
          <w:rFonts w:ascii="Calibri" w:hAnsi="Calibri"/>
        </w:rPr>
        <w:t xml:space="preserve"> (-</w:t>
      </w:r>
      <w:r>
        <w:rPr>
          <w:rFonts w:ascii="Calibri" w:hAnsi="Calibri"/>
        </w:rPr>
        <w:t>16</w:t>
      </w:r>
      <w:r w:rsidRPr="00F86E1D">
        <w:rPr>
          <w:rFonts w:ascii="Calibri" w:hAnsi="Calibri"/>
        </w:rPr>
        <w:t>,</w:t>
      </w:r>
      <w:r>
        <w:rPr>
          <w:rFonts w:ascii="Calibri" w:hAnsi="Calibri"/>
        </w:rPr>
        <w:t>5</w:t>
      </w:r>
      <w:r w:rsidRPr="00F86E1D">
        <w:rPr>
          <w:rFonts w:ascii="Calibri" w:hAnsi="Calibri"/>
        </w:rPr>
        <w:t xml:space="preserve"> p.c.).</w:t>
      </w:r>
    </w:p>
    <w:p w:rsidR="006057A5" w:rsidRDefault="00FB0571" w:rsidP="006057A5">
      <w:pPr>
        <w:widowControl w:val="0"/>
        <w:autoSpaceDE w:val="0"/>
        <w:autoSpaceDN w:val="0"/>
        <w:adjustRightInd w:val="0"/>
        <w:spacing w:after="120"/>
        <w:jc w:val="both"/>
        <w:rPr>
          <w:rFonts w:ascii="Calibri" w:hAnsi="Calibri"/>
        </w:rPr>
      </w:pPr>
      <w:r w:rsidRPr="00E438CD">
        <w:rPr>
          <w:rFonts w:ascii="Calibri" w:hAnsi="Calibri"/>
        </w:rPr>
        <w:t xml:space="preserve">En glissement annuel, l’indice </w:t>
      </w:r>
      <w:r>
        <w:rPr>
          <w:rFonts w:ascii="Calibri" w:hAnsi="Calibri"/>
        </w:rPr>
        <w:t>a également fléchi de</w:t>
      </w:r>
      <w:r w:rsidRPr="00E438CD">
        <w:rPr>
          <w:rFonts w:ascii="Calibri" w:hAnsi="Calibri"/>
        </w:rPr>
        <w:t xml:space="preserve"> </w:t>
      </w:r>
      <w:r>
        <w:rPr>
          <w:rFonts w:ascii="Calibri" w:hAnsi="Calibri"/>
        </w:rPr>
        <w:t xml:space="preserve">1,6 </w:t>
      </w:r>
      <w:r w:rsidRPr="00E438CD">
        <w:rPr>
          <w:rFonts w:ascii="Calibri" w:hAnsi="Calibri"/>
        </w:rPr>
        <w:t xml:space="preserve">p.c. en rapport avec </w:t>
      </w:r>
      <w:r>
        <w:rPr>
          <w:rFonts w:ascii="Calibri" w:hAnsi="Calibri"/>
        </w:rPr>
        <w:t>la baisse</w:t>
      </w:r>
      <w:r w:rsidRPr="00E438CD">
        <w:rPr>
          <w:rFonts w:ascii="Calibri" w:hAnsi="Calibri"/>
        </w:rPr>
        <w:t xml:space="preserve"> de la production de boissons </w:t>
      </w:r>
      <w:r>
        <w:rPr>
          <w:rFonts w:ascii="Calibri" w:hAnsi="Calibri"/>
        </w:rPr>
        <w:t xml:space="preserve">de la BRARUDI </w:t>
      </w:r>
      <w:r w:rsidRPr="00E438CD">
        <w:rPr>
          <w:rFonts w:ascii="Calibri" w:hAnsi="Calibri"/>
        </w:rPr>
        <w:t>(</w:t>
      </w:r>
      <w:r>
        <w:rPr>
          <w:rFonts w:ascii="Calibri" w:hAnsi="Calibri"/>
        </w:rPr>
        <w:t>-3</w:t>
      </w:r>
      <w:r w:rsidRPr="00E438CD">
        <w:rPr>
          <w:rFonts w:ascii="Calibri" w:hAnsi="Calibri"/>
        </w:rPr>
        <w:t>,</w:t>
      </w:r>
      <w:r>
        <w:rPr>
          <w:rFonts w:ascii="Calibri" w:hAnsi="Calibri"/>
        </w:rPr>
        <w:t>9</w:t>
      </w:r>
      <w:r w:rsidRPr="00E438CD">
        <w:rPr>
          <w:rFonts w:ascii="Calibri" w:hAnsi="Calibri"/>
        </w:rPr>
        <w:t xml:space="preserve"> p.c.)</w:t>
      </w:r>
      <w:r>
        <w:rPr>
          <w:rFonts w:ascii="Calibri" w:hAnsi="Calibri"/>
        </w:rPr>
        <w:t xml:space="preserve"> qui a contrebalancé la hausse de la production </w:t>
      </w:r>
      <w:r w:rsidRPr="00E438CD">
        <w:rPr>
          <w:rFonts w:ascii="Calibri" w:hAnsi="Calibri"/>
        </w:rPr>
        <w:t>de sucre (</w:t>
      </w:r>
      <w:r>
        <w:rPr>
          <w:rFonts w:ascii="Calibri" w:hAnsi="Calibri"/>
        </w:rPr>
        <w:t>1,7</w:t>
      </w:r>
      <w:r w:rsidRPr="00E438CD">
        <w:rPr>
          <w:rFonts w:ascii="Calibri" w:hAnsi="Calibri"/>
        </w:rPr>
        <w:t xml:space="preserve"> p.c.)</w:t>
      </w:r>
      <w:r>
        <w:rPr>
          <w:rFonts w:ascii="Calibri" w:hAnsi="Calibri"/>
        </w:rPr>
        <w:t>, d’huile de coton (88,8 p.c.)</w:t>
      </w:r>
      <w:r w:rsidRPr="00E438CD">
        <w:rPr>
          <w:rFonts w:ascii="Calibri" w:hAnsi="Calibri"/>
        </w:rPr>
        <w:t xml:space="preserve"> et de cigarettes (</w:t>
      </w:r>
      <w:r>
        <w:rPr>
          <w:rFonts w:ascii="Calibri" w:hAnsi="Calibri"/>
        </w:rPr>
        <w:t>0</w:t>
      </w:r>
      <w:r w:rsidRPr="00E438CD">
        <w:rPr>
          <w:rFonts w:ascii="Calibri" w:hAnsi="Calibri"/>
        </w:rPr>
        <w:t>,</w:t>
      </w:r>
      <w:r>
        <w:rPr>
          <w:rFonts w:ascii="Calibri" w:hAnsi="Calibri"/>
        </w:rPr>
        <w:t>6</w:t>
      </w:r>
      <w:r w:rsidRPr="00E438CD">
        <w:rPr>
          <w:rFonts w:ascii="Calibri" w:hAnsi="Calibri"/>
        </w:rPr>
        <w:t xml:space="preserve"> p.c.).</w:t>
      </w:r>
      <w:bookmarkStart w:id="21" w:name="_Toc370461788"/>
      <w:bookmarkStart w:id="22" w:name="_Toc370461989"/>
      <w:bookmarkStart w:id="23" w:name="_Toc370462082"/>
      <w:bookmarkStart w:id="24" w:name="_Toc370719671"/>
      <w:bookmarkStart w:id="25" w:name="_Toc370721645"/>
    </w:p>
    <w:p w:rsidR="00FB0571" w:rsidRPr="003D78CB" w:rsidRDefault="00FB0571" w:rsidP="006057A5">
      <w:pPr>
        <w:widowControl w:val="0"/>
        <w:autoSpaceDE w:val="0"/>
        <w:autoSpaceDN w:val="0"/>
        <w:adjustRightInd w:val="0"/>
        <w:spacing w:after="120"/>
        <w:jc w:val="both"/>
        <w:rPr>
          <w:rFonts w:ascii="Calibri" w:hAnsi="Calibri"/>
          <w:b/>
          <w:color w:val="00B0F0"/>
          <w:sz w:val="24"/>
        </w:rPr>
      </w:pPr>
      <w:r w:rsidRPr="003D78CB">
        <w:rPr>
          <w:rFonts w:ascii="Calibri" w:hAnsi="Calibri"/>
          <w:b/>
          <w:color w:val="00B0F0"/>
          <w:sz w:val="24"/>
        </w:rPr>
        <w:t>Café</w:t>
      </w:r>
      <w:bookmarkEnd w:id="21"/>
      <w:bookmarkEnd w:id="22"/>
      <w:bookmarkEnd w:id="23"/>
      <w:bookmarkEnd w:id="24"/>
      <w:bookmarkEnd w:id="25"/>
    </w:p>
    <w:p w:rsidR="006057A5" w:rsidRDefault="00FB0571" w:rsidP="006057A5">
      <w:pPr>
        <w:widowControl w:val="0"/>
        <w:autoSpaceDE w:val="0"/>
        <w:autoSpaceDN w:val="0"/>
        <w:adjustRightInd w:val="0"/>
        <w:spacing w:after="120"/>
        <w:jc w:val="both"/>
        <w:rPr>
          <w:rFonts w:ascii="Calibri" w:hAnsi="Calibri"/>
        </w:rPr>
      </w:pPr>
      <w:r w:rsidRPr="00B26DBA">
        <w:rPr>
          <w:rFonts w:ascii="Calibri" w:hAnsi="Calibri"/>
        </w:rPr>
        <w:t>A</w:t>
      </w:r>
      <w:r>
        <w:rPr>
          <w:rFonts w:ascii="Calibri" w:hAnsi="Calibri"/>
        </w:rPr>
        <w:t xml:space="preserve"> </w:t>
      </w:r>
      <w:r w:rsidRPr="00B26DBA">
        <w:rPr>
          <w:rFonts w:ascii="Calibri" w:hAnsi="Calibri"/>
        </w:rPr>
        <w:t>fin août 201</w:t>
      </w:r>
      <w:r>
        <w:rPr>
          <w:rFonts w:ascii="Calibri" w:hAnsi="Calibri"/>
        </w:rPr>
        <w:t>3</w:t>
      </w:r>
      <w:r w:rsidRPr="00B26DBA">
        <w:rPr>
          <w:rFonts w:ascii="Calibri" w:hAnsi="Calibri"/>
        </w:rPr>
        <w:t xml:space="preserve">, les apports de café Arabica en </w:t>
      </w:r>
      <w:proofErr w:type="spellStart"/>
      <w:r w:rsidRPr="00B26DBA">
        <w:rPr>
          <w:rFonts w:ascii="Calibri" w:hAnsi="Calibri"/>
        </w:rPr>
        <w:t>parche</w:t>
      </w:r>
      <w:proofErr w:type="spellEnd"/>
      <w:r w:rsidRPr="00B26DBA">
        <w:rPr>
          <w:rFonts w:ascii="Calibri" w:hAnsi="Calibri"/>
        </w:rPr>
        <w:t xml:space="preserve"> se sont </w:t>
      </w:r>
      <w:r>
        <w:rPr>
          <w:rFonts w:ascii="Calibri" w:hAnsi="Calibri"/>
        </w:rPr>
        <w:t>élevés</w:t>
      </w:r>
      <w:r w:rsidRPr="00B26DBA">
        <w:rPr>
          <w:rFonts w:ascii="Calibri" w:hAnsi="Calibri"/>
        </w:rPr>
        <w:t xml:space="preserve"> à </w:t>
      </w:r>
      <w:r>
        <w:rPr>
          <w:rFonts w:ascii="Calibri" w:hAnsi="Calibri"/>
        </w:rPr>
        <w:t>8.205</w:t>
      </w:r>
      <w:r w:rsidRPr="00B26DBA">
        <w:rPr>
          <w:rFonts w:ascii="Calibri" w:hAnsi="Calibri"/>
        </w:rPr>
        <w:t xml:space="preserve"> contre 26.557 T à la même période de la campagne précédente, soit une </w:t>
      </w:r>
      <w:r>
        <w:rPr>
          <w:rFonts w:ascii="Calibri" w:hAnsi="Calibri"/>
        </w:rPr>
        <w:t>chute</w:t>
      </w:r>
      <w:r w:rsidRPr="00B26DBA">
        <w:rPr>
          <w:rFonts w:ascii="Calibri" w:hAnsi="Calibri"/>
        </w:rPr>
        <w:t xml:space="preserve"> de </w:t>
      </w:r>
      <w:r>
        <w:rPr>
          <w:rFonts w:ascii="Calibri" w:hAnsi="Calibri"/>
        </w:rPr>
        <w:t>18.355</w:t>
      </w:r>
      <w:r w:rsidRPr="00B26DBA">
        <w:rPr>
          <w:rFonts w:ascii="Calibri" w:hAnsi="Calibri"/>
        </w:rPr>
        <w:t xml:space="preserve"> T</w:t>
      </w:r>
      <w:r>
        <w:rPr>
          <w:rFonts w:ascii="Calibri" w:hAnsi="Calibri"/>
        </w:rPr>
        <w:t xml:space="preserve"> ou 69,1 p.c.</w:t>
      </w:r>
      <w:r w:rsidRPr="00B26DBA">
        <w:rPr>
          <w:rFonts w:ascii="Calibri" w:hAnsi="Calibri"/>
        </w:rPr>
        <w:t xml:space="preserve"> en rapport essentiellement avec la cyclicité des rendements des caféiers.</w:t>
      </w:r>
      <w:r w:rsidRPr="009F6273">
        <w:rPr>
          <w:rFonts w:ascii="Calibri" w:hAnsi="Calibri"/>
        </w:rPr>
        <w:t xml:space="preserve"> </w:t>
      </w:r>
      <w:r>
        <w:rPr>
          <w:rFonts w:ascii="Calibri" w:hAnsi="Calibri"/>
        </w:rPr>
        <w:t xml:space="preserve"> </w:t>
      </w:r>
      <w:bookmarkStart w:id="26" w:name="_Toc370461789"/>
      <w:bookmarkStart w:id="27" w:name="_Toc370461990"/>
      <w:bookmarkStart w:id="28" w:name="_Toc370462083"/>
      <w:bookmarkStart w:id="29" w:name="_Toc370719672"/>
      <w:bookmarkStart w:id="30" w:name="_Toc370721310"/>
      <w:bookmarkStart w:id="31" w:name="_Toc370721646"/>
    </w:p>
    <w:p w:rsidR="00FB0571" w:rsidRPr="006057A5" w:rsidRDefault="00FB0571" w:rsidP="006057A5">
      <w:pPr>
        <w:widowControl w:val="0"/>
        <w:autoSpaceDE w:val="0"/>
        <w:autoSpaceDN w:val="0"/>
        <w:adjustRightInd w:val="0"/>
        <w:spacing w:after="120"/>
        <w:jc w:val="both"/>
        <w:rPr>
          <w:rFonts w:ascii="Calibri" w:hAnsi="Calibri"/>
          <w:b/>
          <w:bCs/>
          <w:color w:val="00B0F0"/>
          <w:sz w:val="24"/>
        </w:rPr>
      </w:pPr>
      <w:r w:rsidRPr="006057A5">
        <w:rPr>
          <w:rFonts w:ascii="Calibri" w:hAnsi="Calibri"/>
          <w:b/>
          <w:color w:val="00B0F0"/>
          <w:sz w:val="24"/>
        </w:rPr>
        <w:t>Thé</w:t>
      </w:r>
      <w:bookmarkEnd w:id="26"/>
      <w:bookmarkEnd w:id="27"/>
      <w:bookmarkEnd w:id="28"/>
      <w:bookmarkEnd w:id="29"/>
      <w:bookmarkEnd w:id="30"/>
      <w:bookmarkEnd w:id="31"/>
    </w:p>
    <w:p w:rsidR="006057A5" w:rsidRDefault="00FB0571" w:rsidP="006057A5">
      <w:pPr>
        <w:spacing w:after="120"/>
        <w:jc w:val="both"/>
        <w:rPr>
          <w:rFonts w:ascii="Calibri" w:hAnsi="Calibri"/>
        </w:rPr>
      </w:pPr>
      <w:r w:rsidRPr="00666643">
        <w:rPr>
          <w:rFonts w:ascii="Calibri" w:hAnsi="Calibri"/>
        </w:rPr>
        <w:t>La  récolte de thé en  feuilles vertes du mois d</w:t>
      </w:r>
      <w:r>
        <w:rPr>
          <w:rFonts w:ascii="Calibri" w:hAnsi="Calibri"/>
        </w:rPr>
        <w:t>’août</w:t>
      </w:r>
      <w:r w:rsidRPr="00666643">
        <w:rPr>
          <w:rFonts w:ascii="Calibri" w:hAnsi="Calibri"/>
        </w:rPr>
        <w:t xml:space="preserve"> 2012 </w:t>
      </w:r>
      <w:r>
        <w:rPr>
          <w:rFonts w:ascii="Calibri" w:hAnsi="Calibri"/>
        </w:rPr>
        <w:t>s’est établie à 1.355</w:t>
      </w:r>
      <w:r w:rsidRPr="00666643">
        <w:rPr>
          <w:rFonts w:ascii="Calibri" w:hAnsi="Calibri"/>
        </w:rPr>
        <w:t xml:space="preserve"> </w:t>
      </w:r>
      <w:r>
        <w:rPr>
          <w:rFonts w:ascii="Calibri" w:hAnsi="Calibri"/>
        </w:rPr>
        <w:t>contre 2.055</w:t>
      </w:r>
      <w:r w:rsidRPr="00666643">
        <w:rPr>
          <w:rFonts w:ascii="Calibri" w:hAnsi="Calibri"/>
        </w:rPr>
        <w:t xml:space="preserve"> T</w:t>
      </w:r>
      <w:r w:rsidRPr="006F369D">
        <w:rPr>
          <w:rFonts w:ascii="Calibri" w:hAnsi="Calibri"/>
        </w:rPr>
        <w:t xml:space="preserve"> </w:t>
      </w:r>
      <w:r>
        <w:rPr>
          <w:rFonts w:ascii="Calibri" w:hAnsi="Calibri"/>
        </w:rPr>
        <w:t>le mois précédent, soit un recul</w:t>
      </w:r>
      <w:r w:rsidRPr="00666643">
        <w:rPr>
          <w:rFonts w:ascii="Calibri" w:hAnsi="Calibri"/>
        </w:rPr>
        <w:t xml:space="preserve"> de </w:t>
      </w:r>
      <w:r>
        <w:rPr>
          <w:rFonts w:ascii="Calibri" w:hAnsi="Calibri"/>
        </w:rPr>
        <w:t>34,1</w:t>
      </w:r>
      <w:r w:rsidRPr="00666643">
        <w:rPr>
          <w:rFonts w:ascii="Calibri" w:hAnsi="Calibri"/>
        </w:rPr>
        <w:t xml:space="preserve"> p.c. </w:t>
      </w:r>
      <w:r>
        <w:rPr>
          <w:rFonts w:ascii="Calibri" w:hAnsi="Calibri"/>
        </w:rPr>
        <w:lastRenderedPageBreak/>
        <w:t>suite à</w:t>
      </w:r>
      <w:r w:rsidRPr="00666643">
        <w:rPr>
          <w:rFonts w:ascii="Calibri" w:hAnsi="Calibri"/>
        </w:rPr>
        <w:t xml:space="preserve"> la saison sèche. </w:t>
      </w:r>
      <w:r>
        <w:rPr>
          <w:rFonts w:ascii="Calibri" w:hAnsi="Calibri"/>
        </w:rPr>
        <w:t>En glissement annuel</w:t>
      </w:r>
      <w:r w:rsidRPr="00666643">
        <w:rPr>
          <w:rFonts w:ascii="Calibri" w:hAnsi="Calibri"/>
        </w:rPr>
        <w:t>, la production cumulée a</w:t>
      </w:r>
      <w:r>
        <w:rPr>
          <w:rFonts w:ascii="Calibri" w:hAnsi="Calibri"/>
        </w:rPr>
        <w:t>, par contre,</w:t>
      </w:r>
      <w:r w:rsidRPr="00666643">
        <w:rPr>
          <w:rFonts w:ascii="Calibri" w:hAnsi="Calibri"/>
        </w:rPr>
        <w:t xml:space="preserve"> légèrement progressé de </w:t>
      </w:r>
      <w:r>
        <w:rPr>
          <w:rFonts w:ascii="Calibri" w:hAnsi="Calibri"/>
        </w:rPr>
        <w:t>1</w:t>
      </w:r>
      <w:r w:rsidRPr="00666643">
        <w:rPr>
          <w:rFonts w:ascii="Calibri" w:hAnsi="Calibri"/>
        </w:rPr>
        <w:t>,</w:t>
      </w:r>
      <w:r>
        <w:rPr>
          <w:rFonts w:ascii="Calibri" w:hAnsi="Calibri"/>
        </w:rPr>
        <w:t>9</w:t>
      </w:r>
      <w:r w:rsidRPr="00666643">
        <w:rPr>
          <w:rFonts w:ascii="Calibri" w:hAnsi="Calibri"/>
        </w:rPr>
        <w:t xml:space="preserve"> p.c., s’établissant à </w:t>
      </w:r>
      <w:r>
        <w:rPr>
          <w:rFonts w:ascii="Calibri" w:hAnsi="Calibri"/>
        </w:rPr>
        <w:t xml:space="preserve">30.513 </w:t>
      </w:r>
      <w:r w:rsidRPr="00666643">
        <w:rPr>
          <w:rFonts w:ascii="Calibri" w:hAnsi="Calibri"/>
        </w:rPr>
        <w:t xml:space="preserve">contre </w:t>
      </w:r>
      <w:r w:rsidRPr="00A332DE">
        <w:rPr>
          <w:rFonts w:ascii="Calibri" w:hAnsi="Calibri"/>
        </w:rPr>
        <w:t>29</w:t>
      </w:r>
      <w:r>
        <w:rPr>
          <w:rFonts w:ascii="Calibri" w:hAnsi="Calibri"/>
        </w:rPr>
        <w:t>.</w:t>
      </w:r>
      <w:r w:rsidRPr="00A332DE">
        <w:rPr>
          <w:rFonts w:ascii="Calibri" w:hAnsi="Calibri"/>
        </w:rPr>
        <w:t> </w:t>
      </w:r>
      <w:r>
        <w:rPr>
          <w:rFonts w:ascii="Calibri" w:hAnsi="Calibri"/>
        </w:rPr>
        <w:t xml:space="preserve">958 </w:t>
      </w:r>
      <w:r w:rsidRPr="00666643">
        <w:rPr>
          <w:rFonts w:ascii="Calibri" w:hAnsi="Calibri"/>
        </w:rPr>
        <w:t>T à la même période de l’année précédente.</w:t>
      </w:r>
      <w:bookmarkStart w:id="32" w:name="_Toc370461790"/>
      <w:bookmarkStart w:id="33" w:name="_Toc370461991"/>
      <w:bookmarkStart w:id="34" w:name="_Toc370462084"/>
      <w:bookmarkStart w:id="35" w:name="_Toc370719673"/>
      <w:bookmarkStart w:id="36" w:name="_Toc370721647"/>
    </w:p>
    <w:p w:rsidR="00B27B53" w:rsidRPr="005A34E0" w:rsidRDefault="003D78CB" w:rsidP="006057A5">
      <w:pPr>
        <w:spacing w:after="120"/>
        <w:jc w:val="both"/>
        <w:rPr>
          <w:b/>
          <w:color w:val="00B0F0"/>
          <w:szCs w:val="24"/>
          <w:lang w:val="fr-BE"/>
        </w:rPr>
      </w:pPr>
      <w:r w:rsidRPr="005A34E0">
        <w:rPr>
          <w:b/>
          <w:color w:val="00B0F0"/>
          <w:szCs w:val="24"/>
          <w:lang w:val="fr-BE"/>
        </w:rPr>
        <w:t>III.INDICE DES PRIX À LA CONSOMMATION</w:t>
      </w:r>
      <w:bookmarkEnd w:id="32"/>
      <w:bookmarkEnd w:id="33"/>
      <w:bookmarkEnd w:id="34"/>
      <w:bookmarkEnd w:id="35"/>
      <w:bookmarkEnd w:id="36"/>
    </w:p>
    <w:p w:rsidR="00920CF9" w:rsidRPr="00920CF9" w:rsidRDefault="00920CF9" w:rsidP="00901893">
      <w:pPr>
        <w:spacing w:after="120"/>
        <w:jc w:val="both"/>
        <w:rPr>
          <w:rFonts w:ascii="Calibri" w:eastAsia="Calibri" w:hAnsi="Calibri" w:cs="Times New Roman"/>
          <w:sz w:val="24"/>
          <w:szCs w:val="24"/>
          <w:lang w:val="fr-BE"/>
        </w:rPr>
      </w:pPr>
      <w:r w:rsidRPr="00920CF9">
        <w:rPr>
          <w:rFonts w:ascii="Calibri" w:eastAsia="Calibri" w:hAnsi="Calibri" w:cs="Times New Roman"/>
          <w:sz w:val="24"/>
          <w:szCs w:val="24"/>
          <w:lang w:val="fr-BE"/>
        </w:rPr>
        <w:t>En glissement annuel, le taux d’inflation du mois d</w:t>
      </w:r>
      <w:r>
        <w:rPr>
          <w:sz w:val="24"/>
          <w:szCs w:val="24"/>
          <w:lang w:val="fr-BE"/>
        </w:rPr>
        <w:t>’Août 2013</w:t>
      </w:r>
      <w:r w:rsidRPr="00920CF9">
        <w:rPr>
          <w:rFonts w:ascii="Calibri" w:eastAsia="Calibri" w:hAnsi="Calibri" w:cs="Times New Roman"/>
          <w:sz w:val="24"/>
          <w:szCs w:val="24"/>
          <w:lang w:val="fr-BE"/>
        </w:rPr>
        <w:t xml:space="preserve"> est de </w:t>
      </w:r>
      <w:r>
        <w:rPr>
          <w:sz w:val="24"/>
          <w:szCs w:val="24"/>
          <w:lang w:val="fr-BE"/>
        </w:rPr>
        <w:t>10,4</w:t>
      </w:r>
      <w:r w:rsidRPr="00920CF9">
        <w:rPr>
          <w:rFonts w:ascii="Calibri" w:eastAsia="Calibri" w:hAnsi="Calibri" w:cs="Times New Roman"/>
          <w:sz w:val="24"/>
          <w:szCs w:val="24"/>
          <w:lang w:val="fr-BE"/>
        </w:rPr>
        <w:t xml:space="preserve"> p.c., l’indice général des prix à la consommation s’étant établi à 1.</w:t>
      </w:r>
      <w:r>
        <w:rPr>
          <w:sz w:val="24"/>
          <w:szCs w:val="24"/>
          <w:lang w:val="fr-BE"/>
        </w:rPr>
        <w:t>247</w:t>
      </w:r>
      <w:r w:rsidRPr="00920CF9">
        <w:rPr>
          <w:rFonts w:ascii="Calibri" w:eastAsia="Calibri" w:hAnsi="Calibri" w:cs="Times New Roman"/>
          <w:sz w:val="24"/>
          <w:szCs w:val="24"/>
          <w:lang w:val="fr-BE"/>
        </w:rPr>
        <w:t>,</w:t>
      </w:r>
      <w:r>
        <w:rPr>
          <w:sz w:val="24"/>
          <w:szCs w:val="24"/>
          <w:lang w:val="fr-BE"/>
        </w:rPr>
        <w:t>0 contre 1.129,1</w:t>
      </w:r>
      <w:r w:rsidRPr="00920CF9">
        <w:rPr>
          <w:rFonts w:ascii="Calibri" w:eastAsia="Calibri" w:hAnsi="Calibri" w:cs="Times New Roman"/>
          <w:sz w:val="24"/>
          <w:szCs w:val="24"/>
          <w:lang w:val="fr-BE"/>
        </w:rPr>
        <w:t xml:space="preserve"> du mois correspondant de l’année précédente. Cette accélération du niveau général des prix </w:t>
      </w:r>
      <w:r w:rsidRPr="00920CF9">
        <w:rPr>
          <w:sz w:val="24"/>
          <w:szCs w:val="24"/>
          <w:lang w:val="fr-BE"/>
        </w:rPr>
        <w:t>a été entretenu</w:t>
      </w:r>
      <w:r w:rsidR="002E6630">
        <w:rPr>
          <w:sz w:val="24"/>
          <w:szCs w:val="24"/>
          <w:lang w:val="fr-BE"/>
        </w:rPr>
        <w:t>e</w:t>
      </w:r>
      <w:r w:rsidRPr="00920CF9">
        <w:rPr>
          <w:rFonts w:ascii="Calibri" w:eastAsia="Calibri" w:hAnsi="Calibri" w:cs="Times New Roman"/>
          <w:sz w:val="24"/>
          <w:szCs w:val="24"/>
          <w:lang w:val="fr-BE"/>
        </w:rPr>
        <w:t xml:space="preserve"> par l’augmentation des prix des produits alimentaires (</w:t>
      </w:r>
      <w:r>
        <w:rPr>
          <w:sz w:val="24"/>
          <w:szCs w:val="24"/>
          <w:lang w:val="fr-BE"/>
        </w:rPr>
        <w:t>12,2</w:t>
      </w:r>
      <w:r w:rsidR="005A57ED">
        <w:rPr>
          <w:rFonts w:ascii="Calibri" w:eastAsia="Calibri" w:hAnsi="Calibri" w:cs="Times New Roman"/>
          <w:sz w:val="24"/>
          <w:szCs w:val="24"/>
          <w:lang w:val="fr-BE"/>
        </w:rPr>
        <w:t xml:space="preserve"> </w:t>
      </w:r>
      <w:r w:rsidRPr="00920CF9">
        <w:rPr>
          <w:rFonts w:ascii="Calibri" w:eastAsia="Calibri" w:hAnsi="Calibri" w:cs="Times New Roman"/>
          <w:sz w:val="24"/>
          <w:szCs w:val="24"/>
          <w:lang w:val="fr-BE"/>
        </w:rPr>
        <w:t>p.c.) et hors alimentaires (</w:t>
      </w:r>
      <w:r>
        <w:rPr>
          <w:sz w:val="24"/>
          <w:szCs w:val="24"/>
          <w:lang w:val="fr-BE"/>
        </w:rPr>
        <w:t>8</w:t>
      </w:r>
      <w:r w:rsidRPr="00920CF9">
        <w:rPr>
          <w:rFonts w:ascii="Calibri" w:eastAsia="Calibri" w:hAnsi="Calibri" w:cs="Times New Roman"/>
          <w:sz w:val="24"/>
          <w:szCs w:val="24"/>
          <w:lang w:val="fr-BE"/>
        </w:rPr>
        <w:t>,</w:t>
      </w:r>
      <w:r>
        <w:rPr>
          <w:sz w:val="24"/>
          <w:szCs w:val="24"/>
          <w:lang w:val="fr-BE"/>
        </w:rPr>
        <w:t>4</w:t>
      </w:r>
      <w:r w:rsidRPr="00920CF9">
        <w:rPr>
          <w:rFonts w:ascii="Calibri" w:eastAsia="Calibri" w:hAnsi="Calibri" w:cs="Times New Roman"/>
          <w:sz w:val="24"/>
          <w:szCs w:val="24"/>
          <w:lang w:val="fr-BE"/>
        </w:rPr>
        <w:t xml:space="preserve"> p.c.).</w:t>
      </w:r>
    </w:p>
    <w:p w:rsidR="00920CF9" w:rsidRPr="00920CF9" w:rsidRDefault="00920CF9" w:rsidP="00901893">
      <w:pPr>
        <w:spacing w:after="120"/>
        <w:jc w:val="both"/>
        <w:rPr>
          <w:sz w:val="24"/>
          <w:szCs w:val="24"/>
          <w:lang w:val="fr-BE"/>
        </w:rPr>
      </w:pPr>
      <w:r w:rsidRPr="00920CF9">
        <w:rPr>
          <w:sz w:val="24"/>
          <w:szCs w:val="24"/>
          <w:lang w:val="fr-BE"/>
        </w:rPr>
        <w:t xml:space="preserve">L’accroissement de l’inflation alimentaire est principalement lié à la hausse des prix de certains produits de base comme le </w:t>
      </w:r>
      <w:r>
        <w:rPr>
          <w:sz w:val="24"/>
          <w:szCs w:val="24"/>
          <w:lang w:val="fr-BE"/>
        </w:rPr>
        <w:t xml:space="preserve">pain </w:t>
      </w:r>
      <w:r w:rsidRPr="00920CF9">
        <w:rPr>
          <w:sz w:val="24"/>
          <w:szCs w:val="24"/>
          <w:lang w:val="fr-BE"/>
        </w:rPr>
        <w:t>(7</w:t>
      </w:r>
      <w:r>
        <w:rPr>
          <w:sz w:val="24"/>
          <w:szCs w:val="24"/>
          <w:lang w:val="fr-BE"/>
        </w:rPr>
        <w:t>0</w:t>
      </w:r>
      <w:r w:rsidRPr="00920CF9">
        <w:rPr>
          <w:sz w:val="24"/>
          <w:szCs w:val="24"/>
          <w:lang w:val="fr-BE"/>
        </w:rPr>
        <w:t>,</w:t>
      </w:r>
      <w:r>
        <w:rPr>
          <w:sz w:val="24"/>
          <w:szCs w:val="24"/>
          <w:lang w:val="fr-BE"/>
        </w:rPr>
        <w:t>5</w:t>
      </w:r>
      <w:r w:rsidRPr="00920CF9">
        <w:rPr>
          <w:sz w:val="24"/>
          <w:szCs w:val="24"/>
          <w:lang w:val="fr-BE"/>
        </w:rPr>
        <w:t xml:space="preserve"> p.c.), </w:t>
      </w:r>
      <w:r>
        <w:rPr>
          <w:sz w:val="24"/>
          <w:szCs w:val="24"/>
          <w:lang w:val="fr-BE"/>
        </w:rPr>
        <w:t xml:space="preserve"> </w:t>
      </w:r>
      <w:r w:rsidR="00CE7668">
        <w:rPr>
          <w:sz w:val="24"/>
          <w:szCs w:val="24"/>
          <w:lang w:val="fr-BE"/>
        </w:rPr>
        <w:t xml:space="preserve">le </w:t>
      </w:r>
      <w:proofErr w:type="spellStart"/>
      <w:r w:rsidRPr="00920CF9">
        <w:rPr>
          <w:sz w:val="24"/>
          <w:szCs w:val="24"/>
          <w:lang w:val="fr-BE"/>
        </w:rPr>
        <w:t>mukeke</w:t>
      </w:r>
      <w:proofErr w:type="spellEnd"/>
      <w:r w:rsidRPr="00920CF9">
        <w:rPr>
          <w:sz w:val="24"/>
          <w:szCs w:val="24"/>
          <w:lang w:val="fr-BE"/>
        </w:rPr>
        <w:t xml:space="preserve"> frais (</w:t>
      </w:r>
      <w:r>
        <w:rPr>
          <w:sz w:val="24"/>
          <w:szCs w:val="24"/>
          <w:lang w:val="fr-BE"/>
        </w:rPr>
        <w:t>13,9</w:t>
      </w:r>
      <w:r w:rsidRPr="00920CF9">
        <w:rPr>
          <w:sz w:val="24"/>
          <w:szCs w:val="24"/>
          <w:lang w:val="fr-BE"/>
        </w:rPr>
        <w:t xml:space="preserve"> p.c.), l’huile de palme (</w:t>
      </w:r>
      <w:r>
        <w:rPr>
          <w:sz w:val="24"/>
          <w:szCs w:val="24"/>
          <w:lang w:val="fr-BE"/>
        </w:rPr>
        <w:t xml:space="preserve">32,1 </w:t>
      </w:r>
      <w:r w:rsidRPr="00920CF9">
        <w:rPr>
          <w:sz w:val="24"/>
          <w:szCs w:val="24"/>
          <w:lang w:val="fr-BE"/>
        </w:rPr>
        <w:t xml:space="preserve">p.c.), </w:t>
      </w:r>
      <w:r w:rsidR="00351CBF">
        <w:rPr>
          <w:sz w:val="24"/>
          <w:szCs w:val="24"/>
          <w:lang w:val="fr-BE"/>
        </w:rPr>
        <w:t>la banane verte</w:t>
      </w:r>
      <w:r w:rsidRPr="00920CF9">
        <w:rPr>
          <w:sz w:val="24"/>
          <w:szCs w:val="24"/>
          <w:lang w:val="fr-BE"/>
        </w:rPr>
        <w:t xml:space="preserve"> </w:t>
      </w:r>
      <w:r w:rsidR="00351CBF">
        <w:rPr>
          <w:sz w:val="24"/>
          <w:szCs w:val="24"/>
          <w:lang w:val="fr-BE"/>
        </w:rPr>
        <w:t>(38,6</w:t>
      </w:r>
      <w:r w:rsidRPr="00920CF9">
        <w:rPr>
          <w:sz w:val="24"/>
          <w:szCs w:val="24"/>
          <w:lang w:val="fr-BE"/>
        </w:rPr>
        <w:t xml:space="preserve"> p.c.), </w:t>
      </w:r>
      <w:r w:rsidR="00351CBF">
        <w:rPr>
          <w:sz w:val="24"/>
          <w:szCs w:val="24"/>
          <w:lang w:val="fr-BE"/>
        </w:rPr>
        <w:t>le haricot sec (5,5</w:t>
      </w:r>
      <w:r w:rsidRPr="00920CF9">
        <w:rPr>
          <w:sz w:val="24"/>
          <w:szCs w:val="24"/>
          <w:lang w:val="fr-BE"/>
        </w:rPr>
        <w:t xml:space="preserve"> p.c.)</w:t>
      </w:r>
      <w:r w:rsidR="00351CBF">
        <w:rPr>
          <w:sz w:val="24"/>
          <w:szCs w:val="24"/>
          <w:lang w:val="fr-BE"/>
        </w:rPr>
        <w:t>, les petits pois verts</w:t>
      </w:r>
      <w:r w:rsidRPr="00920CF9">
        <w:rPr>
          <w:sz w:val="24"/>
          <w:szCs w:val="24"/>
          <w:lang w:val="fr-BE"/>
        </w:rPr>
        <w:t xml:space="preserve"> </w:t>
      </w:r>
      <w:r w:rsidR="00351CBF">
        <w:rPr>
          <w:sz w:val="24"/>
          <w:szCs w:val="24"/>
          <w:lang w:val="fr-BE"/>
        </w:rPr>
        <w:t>(27,5</w:t>
      </w:r>
      <w:r w:rsidR="00351CBF" w:rsidRPr="00920CF9">
        <w:rPr>
          <w:sz w:val="24"/>
          <w:szCs w:val="24"/>
          <w:lang w:val="fr-BE"/>
        </w:rPr>
        <w:t xml:space="preserve"> p.c.), </w:t>
      </w:r>
      <w:r w:rsidR="00351CBF">
        <w:rPr>
          <w:sz w:val="24"/>
          <w:szCs w:val="24"/>
          <w:lang w:val="fr-BE"/>
        </w:rPr>
        <w:t>les pomme</w:t>
      </w:r>
      <w:r w:rsidR="00CE7668">
        <w:rPr>
          <w:sz w:val="24"/>
          <w:szCs w:val="24"/>
          <w:lang w:val="fr-BE"/>
        </w:rPr>
        <w:t>s</w:t>
      </w:r>
      <w:r w:rsidR="00351CBF">
        <w:rPr>
          <w:sz w:val="24"/>
          <w:szCs w:val="24"/>
          <w:lang w:val="fr-BE"/>
        </w:rPr>
        <w:t xml:space="preserve"> de terre</w:t>
      </w:r>
      <w:r w:rsidR="00351CBF" w:rsidRPr="00920CF9">
        <w:rPr>
          <w:sz w:val="24"/>
          <w:szCs w:val="24"/>
          <w:lang w:val="fr-BE"/>
        </w:rPr>
        <w:t xml:space="preserve"> </w:t>
      </w:r>
      <w:r w:rsidR="00351CBF">
        <w:rPr>
          <w:sz w:val="24"/>
          <w:szCs w:val="24"/>
          <w:lang w:val="fr-BE"/>
        </w:rPr>
        <w:t>(12,6</w:t>
      </w:r>
      <w:r w:rsidR="00351CBF" w:rsidRPr="00920CF9">
        <w:rPr>
          <w:sz w:val="24"/>
          <w:szCs w:val="24"/>
          <w:lang w:val="fr-BE"/>
        </w:rPr>
        <w:t xml:space="preserve"> p.c.)</w:t>
      </w:r>
      <w:r w:rsidR="00351CBF">
        <w:rPr>
          <w:sz w:val="24"/>
          <w:szCs w:val="24"/>
          <w:lang w:val="fr-BE"/>
        </w:rPr>
        <w:t xml:space="preserve"> ainsi que la </w:t>
      </w:r>
      <w:r w:rsidRPr="00920CF9">
        <w:rPr>
          <w:sz w:val="24"/>
          <w:szCs w:val="24"/>
          <w:lang w:val="fr-BE"/>
        </w:rPr>
        <w:t>farine de manioc (</w:t>
      </w:r>
      <w:r w:rsidR="00351CBF">
        <w:rPr>
          <w:sz w:val="24"/>
          <w:szCs w:val="24"/>
          <w:lang w:val="fr-BE"/>
        </w:rPr>
        <w:t>15,0</w:t>
      </w:r>
      <w:r w:rsidRPr="00920CF9">
        <w:rPr>
          <w:sz w:val="24"/>
          <w:szCs w:val="24"/>
          <w:lang w:val="fr-BE"/>
        </w:rPr>
        <w:t xml:space="preserve"> p.c.).</w:t>
      </w:r>
    </w:p>
    <w:p w:rsidR="00351CBF" w:rsidRDefault="00351CBF" w:rsidP="00901893">
      <w:pPr>
        <w:tabs>
          <w:tab w:val="left" w:pos="0"/>
        </w:tabs>
        <w:spacing w:after="120"/>
        <w:ind w:right="-23"/>
        <w:jc w:val="both"/>
        <w:rPr>
          <w:sz w:val="24"/>
          <w:szCs w:val="24"/>
        </w:rPr>
      </w:pPr>
      <w:r>
        <w:rPr>
          <w:sz w:val="24"/>
          <w:szCs w:val="24"/>
        </w:rPr>
        <w:t>La hausse de l’inflation hors alimentaire s’explique par l’augmentation des prix des groupes « habillement » (8,5 p.c.), « logement et chauffage » (7,1 p.c.), « article de ménage » (22,1 p.c.), ainsi que ceux du groupe « transport et communications » (11,6 p.c.).</w:t>
      </w:r>
    </w:p>
    <w:p w:rsidR="00943F6B" w:rsidRDefault="00943F6B" w:rsidP="00901893">
      <w:pPr>
        <w:tabs>
          <w:tab w:val="left" w:pos="0"/>
        </w:tabs>
        <w:spacing w:after="120"/>
        <w:ind w:right="-23"/>
        <w:jc w:val="both"/>
        <w:rPr>
          <w:sz w:val="24"/>
          <w:szCs w:val="24"/>
        </w:rPr>
      </w:pPr>
      <w:r w:rsidRPr="00943F6B">
        <w:rPr>
          <w:sz w:val="24"/>
          <w:szCs w:val="24"/>
        </w:rPr>
        <w:t>L</w:t>
      </w:r>
      <w:r>
        <w:rPr>
          <w:sz w:val="24"/>
          <w:szCs w:val="24"/>
        </w:rPr>
        <w:t xml:space="preserve">es prix d’août </w:t>
      </w:r>
      <w:r w:rsidRPr="00943F6B">
        <w:rPr>
          <w:sz w:val="24"/>
          <w:szCs w:val="24"/>
        </w:rPr>
        <w:t>201</w:t>
      </w:r>
      <w:r>
        <w:rPr>
          <w:sz w:val="24"/>
          <w:szCs w:val="24"/>
        </w:rPr>
        <w:t>3</w:t>
      </w:r>
      <w:r w:rsidRPr="00943F6B">
        <w:rPr>
          <w:sz w:val="24"/>
          <w:szCs w:val="24"/>
        </w:rPr>
        <w:t xml:space="preserve"> ont enregistré une augmentation de 0,</w:t>
      </w:r>
      <w:r>
        <w:rPr>
          <w:sz w:val="24"/>
          <w:szCs w:val="24"/>
        </w:rPr>
        <w:t>1</w:t>
      </w:r>
      <w:r w:rsidRPr="00943F6B">
        <w:rPr>
          <w:sz w:val="24"/>
          <w:szCs w:val="24"/>
        </w:rPr>
        <w:t xml:space="preserve"> contre une baisse de </w:t>
      </w:r>
      <w:r>
        <w:rPr>
          <w:sz w:val="24"/>
          <w:szCs w:val="24"/>
        </w:rPr>
        <w:t>0</w:t>
      </w:r>
      <w:r w:rsidRPr="00943F6B">
        <w:rPr>
          <w:sz w:val="24"/>
          <w:szCs w:val="24"/>
        </w:rPr>
        <w:t>,</w:t>
      </w:r>
      <w:r>
        <w:rPr>
          <w:sz w:val="24"/>
          <w:szCs w:val="24"/>
        </w:rPr>
        <w:t>4</w:t>
      </w:r>
      <w:r w:rsidRPr="00943F6B">
        <w:rPr>
          <w:sz w:val="24"/>
          <w:szCs w:val="24"/>
        </w:rPr>
        <w:t xml:space="preserve"> p.c. du mois précédent, en raison de la faible hausse des prix des secteurs « alimentation » (</w:t>
      </w:r>
      <w:r>
        <w:rPr>
          <w:sz w:val="24"/>
          <w:szCs w:val="24"/>
        </w:rPr>
        <w:t>0,9</w:t>
      </w:r>
      <w:r w:rsidRPr="00943F6B">
        <w:rPr>
          <w:sz w:val="24"/>
          <w:szCs w:val="24"/>
        </w:rPr>
        <w:t xml:space="preserve"> contre -</w:t>
      </w:r>
      <w:r>
        <w:rPr>
          <w:sz w:val="24"/>
          <w:szCs w:val="24"/>
        </w:rPr>
        <w:t>1,6</w:t>
      </w:r>
      <w:r w:rsidRPr="00943F6B">
        <w:rPr>
          <w:sz w:val="24"/>
          <w:szCs w:val="24"/>
        </w:rPr>
        <w:t xml:space="preserve"> p.c.) </w:t>
      </w:r>
      <w:r>
        <w:rPr>
          <w:sz w:val="24"/>
          <w:szCs w:val="24"/>
        </w:rPr>
        <w:t>atténué par la baisse de ceux du secteur</w:t>
      </w:r>
      <w:r w:rsidR="004C4631">
        <w:rPr>
          <w:sz w:val="24"/>
          <w:szCs w:val="24"/>
        </w:rPr>
        <w:t xml:space="preserve"> « hors alimentation » (-1,2</w:t>
      </w:r>
      <w:r w:rsidRPr="00943F6B">
        <w:rPr>
          <w:sz w:val="24"/>
          <w:szCs w:val="24"/>
        </w:rPr>
        <w:t xml:space="preserve"> contre </w:t>
      </w:r>
      <w:r w:rsidR="004C4631">
        <w:rPr>
          <w:sz w:val="24"/>
          <w:szCs w:val="24"/>
        </w:rPr>
        <w:t>1,3</w:t>
      </w:r>
      <w:r w:rsidRPr="00943F6B">
        <w:rPr>
          <w:sz w:val="24"/>
          <w:szCs w:val="24"/>
        </w:rPr>
        <w:t xml:space="preserve"> p.c.).</w:t>
      </w:r>
    </w:p>
    <w:bookmarkStart w:id="37" w:name="_MON_1444195457"/>
    <w:bookmarkEnd w:id="37"/>
    <w:p w:rsidR="003D78CB" w:rsidRDefault="00FB0571" w:rsidP="003D78CB">
      <w:pPr>
        <w:tabs>
          <w:tab w:val="left" w:pos="0"/>
        </w:tabs>
        <w:spacing w:after="0"/>
        <w:ind w:right="-23"/>
        <w:jc w:val="both"/>
        <w:rPr>
          <w:sz w:val="24"/>
          <w:szCs w:val="24"/>
        </w:rPr>
      </w:pPr>
      <w:r w:rsidRPr="00D70B86">
        <w:rPr>
          <w:sz w:val="24"/>
          <w:szCs w:val="24"/>
        </w:rPr>
        <w:object w:dxaOrig="10389" w:dyaOrig="4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99.5pt" o:ole="">
            <v:imagedata r:id="rId11" o:title=""/>
          </v:shape>
          <o:OLEObject Type="Embed" ProgID="Excel.Sheet.8" ShapeID="_x0000_i1025" DrawAspect="Content" ObjectID="_1444744557" r:id="rId12"/>
        </w:object>
      </w:r>
      <w:bookmarkStart w:id="38" w:name="_Toc370461791"/>
      <w:bookmarkStart w:id="39" w:name="_Toc370461992"/>
      <w:bookmarkStart w:id="40" w:name="_Toc370462085"/>
      <w:bookmarkStart w:id="41" w:name="_Toc370719674"/>
    </w:p>
    <w:p w:rsidR="00DF4566" w:rsidRDefault="00E15218" w:rsidP="006057A5">
      <w:pPr>
        <w:pStyle w:val="Titre1"/>
        <w:spacing w:after="120"/>
        <w:rPr>
          <w:rFonts w:asciiTheme="minorHAnsi" w:hAnsiTheme="minorHAnsi"/>
          <w:color w:val="00B0F0"/>
          <w:sz w:val="24"/>
          <w:szCs w:val="24"/>
        </w:rPr>
      </w:pPr>
      <w:bookmarkStart w:id="42" w:name="_Toc370721648"/>
      <w:r w:rsidRPr="00801EAE">
        <w:rPr>
          <w:rFonts w:asciiTheme="minorHAnsi" w:hAnsiTheme="minorHAnsi"/>
          <w:color w:val="00B0F0"/>
          <w:sz w:val="24"/>
          <w:szCs w:val="24"/>
        </w:rPr>
        <w:t>IV. FINANCES PUBLIQUES</w:t>
      </w:r>
      <w:bookmarkStart w:id="43" w:name="_Toc370721311"/>
      <w:bookmarkStart w:id="44" w:name="_Toc370721649"/>
      <w:bookmarkEnd w:id="42"/>
    </w:p>
    <w:p w:rsidR="00E15218" w:rsidRPr="00801EAE" w:rsidRDefault="00E15218" w:rsidP="006057A5">
      <w:pPr>
        <w:pStyle w:val="Titre1"/>
        <w:spacing w:after="120"/>
        <w:rPr>
          <w:rFonts w:asciiTheme="minorHAnsi" w:hAnsiTheme="minorHAnsi"/>
          <w:color w:val="00B0F0"/>
          <w:sz w:val="24"/>
          <w:szCs w:val="24"/>
        </w:rPr>
      </w:pPr>
      <w:r w:rsidRPr="00801EAE">
        <w:rPr>
          <w:rFonts w:asciiTheme="minorHAnsi" w:hAnsiTheme="minorHAnsi"/>
          <w:color w:val="00B0F0"/>
          <w:sz w:val="24"/>
          <w:szCs w:val="24"/>
        </w:rPr>
        <w:t>Recettes</w:t>
      </w:r>
      <w:bookmarkEnd w:id="43"/>
      <w:bookmarkEnd w:id="44"/>
      <w:r w:rsidRPr="00801EAE">
        <w:rPr>
          <w:rFonts w:asciiTheme="minorHAnsi" w:hAnsiTheme="minorHAnsi"/>
          <w:color w:val="00B0F0"/>
          <w:sz w:val="24"/>
          <w:szCs w:val="24"/>
        </w:rPr>
        <w:t xml:space="preserve"> </w:t>
      </w:r>
    </w:p>
    <w:p w:rsidR="00E15218" w:rsidRPr="00D93819" w:rsidRDefault="00E15218" w:rsidP="00E15218">
      <w:pPr>
        <w:jc w:val="both"/>
        <w:rPr>
          <w:sz w:val="24"/>
          <w:szCs w:val="24"/>
        </w:rPr>
      </w:pPr>
      <w:r>
        <w:rPr>
          <w:sz w:val="24"/>
          <w:szCs w:val="24"/>
        </w:rPr>
        <w:t>A fin Août 2013, l</w:t>
      </w:r>
      <w:r w:rsidRPr="002404D0">
        <w:rPr>
          <w:sz w:val="24"/>
          <w:szCs w:val="24"/>
        </w:rPr>
        <w:t xml:space="preserve">es recettes du budget consolidé de l’Etat </w:t>
      </w:r>
      <w:r>
        <w:rPr>
          <w:sz w:val="24"/>
          <w:szCs w:val="24"/>
        </w:rPr>
        <w:t xml:space="preserve">se sont établies à 391.230,4 MBIF </w:t>
      </w:r>
      <w:r w:rsidRPr="002404D0">
        <w:rPr>
          <w:sz w:val="24"/>
          <w:szCs w:val="24"/>
        </w:rPr>
        <w:t xml:space="preserve">contre </w:t>
      </w:r>
      <w:r>
        <w:rPr>
          <w:sz w:val="24"/>
          <w:szCs w:val="24"/>
        </w:rPr>
        <w:t xml:space="preserve">363.843,7 </w:t>
      </w:r>
      <w:r w:rsidRPr="002404D0">
        <w:rPr>
          <w:sz w:val="24"/>
          <w:szCs w:val="24"/>
        </w:rPr>
        <w:t xml:space="preserve">MBIF </w:t>
      </w:r>
      <w:r>
        <w:rPr>
          <w:sz w:val="24"/>
          <w:szCs w:val="24"/>
        </w:rPr>
        <w:t xml:space="preserve">à la période correspondante </w:t>
      </w:r>
      <w:r w:rsidRPr="002404D0">
        <w:rPr>
          <w:sz w:val="24"/>
          <w:szCs w:val="24"/>
        </w:rPr>
        <w:t xml:space="preserve">de l’année précédente, soit une </w:t>
      </w:r>
      <w:r>
        <w:rPr>
          <w:sz w:val="24"/>
          <w:szCs w:val="24"/>
        </w:rPr>
        <w:t xml:space="preserve">augmentation </w:t>
      </w:r>
      <w:r w:rsidRPr="002404D0">
        <w:rPr>
          <w:sz w:val="24"/>
          <w:szCs w:val="24"/>
        </w:rPr>
        <w:t xml:space="preserve">de </w:t>
      </w:r>
      <w:r>
        <w:rPr>
          <w:sz w:val="24"/>
          <w:szCs w:val="24"/>
        </w:rPr>
        <w:t>27</w:t>
      </w:r>
      <w:r w:rsidRPr="002404D0">
        <w:rPr>
          <w:sz w:val="24"/>
          <w:szCs w:val="24"/>
        </w:rPr>
        <w:t>.</w:t>
      </w:r>
      <w:r>
        <w:rPr>
          <w:sz w:val="24"/>
          <w:szCs w:val="24"/>
        </w:rPr>
        <w:t>386</w:t>
      </w:r>
      <w:r w:rsidRPr="002404D0">
        <w:rPr>
          <w:sz w:val="24"/>
          <w:szCs w:val="24"/>
        </w:rPr>
        <w:t>,</w:t>
      </w:r>
      <w:r>
        <w:rPr>
          <w:sz w:val="24"/>
          <w:szCs w:val="24"/>
        </w:rPr>
        <w:t xml:space="preserve">7 </w:t>
      </w:r>
      <w:r w:rsidRPr="002404D0">
        <w:rPr>
          <w:sz w:val="24"/>
          <w:szCs w:val="24"/>
        </w:rPr>
        <w:t xml:space="preserve">MBIF, ou </w:t>
      </w:r>
      <w:r>
        <w:rPr>
          <w:sz w:val="24"/>
          <w:szCs w:val="24"/>
        </w:rPr>
        <w:t>7,5</w:t>
      </w:r>
      <w:r w:rsidRPr="002404D0">
        <w:rPr>
          <w:sz w:val="24"/>
          <w:szCs w:val="24"/>
        </w:rPr>
        <w:t xml:space="preserve"> </w:t>
      </w:r>
      <w:r>
        <w:rPr>
          <w:sz w:val="24"/>
          <w:szCs w:val="24"/>
        </w:rPr>
        <w:t>p.c. cette hausse est lié à l’accroissement  des recettes</w:t>
      </w:r>
      <w:r w:rsidRPr="00422C7F">
        <w:rPr>
          <w:sz w:val="24"/>
          <w:szCs w:val="24"/>
        </w:rPr>
        <w:t xml:space="preserve"> </w:t>
      </w:r>
      <w:r>
        <w:rPr>
          <w:sz w:val="24"/>
          <w:szCs w:val="24"/>
        </w:rPr>
        <w:t>fiscales (+20.552,6 MBIF)</w:t>
      </w:r>
      <w:r w:rsidRPr="00F82977">
        <w:rPr>
          <w:sz w:val="24"/>
          <w:szCs w:val="24"/>
        </w:rPr>
        <w:t xml:space="preserve"> </w:t>
      </w:r>
      <w:r>
        <w:rPr>
          <w:sz w:val="24"/>
          <w:szCs w:val="24"/>
        </w:rPr>
        <w:t>et exceptionnelles (8.717,2 MBIF), les</w:t>
      </w:r>
      <w:r w:rsidRPr="00A81449">
        <w:rPr>
          <w:sz w:val="24"/>
          <w:szCs w:val="24"/>
        </w:rPr>
        <w:t xml:space="preserve"> </w:t>
      </w:r>
      <w:r>
        <w:rPr>
          <w:sz w:val="24"/>
          <w:szCs w:val="24"/>
        </w:rPr>
        <w:t xml:space="preserve">recettes non fiscales ayant diminué  (-1.883,1 MBIF). </w:t>
      </w:r>
    </w:p>
    <w:p w:rsidR="00E15218" w:rsidRPr="00E15218" w:rsidRDefault="00E15218" w:rsidP="006057A5">
      <w:pPr>
        <w:spacing w:after="120"/>
        <w:jc w:val="both"/>
        <w:rPr>
          <w:b/>
          <w:color w:val="00B0F0"/>
          <w:sz w:val="24"/>
          <w:szCs w:val="24"/>
        </w:rPr>
      </w:pPr>
      <w:r>
        <w:rPr>
          <w:sz w:val="24"/>
          <w:szCs w:val="24"/>
        </w:rPr>
        <w:t>Comparées à celles du mois précédent</w:t>
      </w:r>
      <w:r w:rsidRPr="002404D0">
        <w:rPr>
          <w:sz w:val="24"/>
          <w:szCs w:val="24"/>
        </w:rPr>
        <w:t>, les recettes d</w:t>
      </w:r>
      <w:r>
        <w:rPr>
          <w:sz w:val="24"/>
          <w:szCs w:val="24"/>
        </w:rPr>
        <w:t xml:space="preserve">’Août </w:t>
      </w:r>
      <w:r w:rsidRPr="002404D0">
        <w:rPr>
          <w:sz w:val="24"/>
          <w:szCs w:val="24"/>
        </w:rPr>
        <w:t>201</w:t>
      </w:r>
      <w:r>
        <w:rPr>
          <w:sz w:val="24"/>
          <w:szCs w:val="24"/>
        </w:rPr>
        <w:t>3</w:t>
      </w:r>
      <w:r w:rsidRPr="002404D0">
        <w:rPr>
          <w:sz w:val="24"/>
          <w:szCs w:val="24"/>
        </w:rPr>
        <w:t xml:space="preserve"> ont </w:t>
      </w:r>
      <w:r>
        <w:rPr>
          <w:sz w:val="24"/>
          <w:szCs w:val="24"/>
        </w:rPr>
        <w:t xml:space="preserve">progressé </w:t>
      </w:r>
      <w:r w:rsidRPr="002404D0">
        <w:rPr>
          <w:sz w:val="24"/>
          <w:szCs w:val="24"/>
        </w:rPr>
        <w:t xml:space="preserve">de </w:t>
      </w:r>
      <w:r>
        <w:rPr>
          <w:sz w:val="24"/>
          <w:szCs w:val="24"/>
        </w:rPr>
        <w:t xml:space="preserve">27.467,9 </w:t>
      </w:r>
      <w:r w:rsidRPr="002404D0">
        <w:rPr>
          <w:sz w:val="24"/>
          <w:szCs w:val="24"/>
        </w:rPr>
        <w:t>MBIF</w:t>
      </w:r>
      <w:r>
        <w:rPr>
          <w:sz w:val="24"/>
          <w:szCs w:val="24"/>
        </w:rPr>
        <w:t xml:space="preserve"> passant de 44.687,7 à 72.155,6 MBIF suite principalement</w:t>
      </w:r>
      <w:r w:rsidRPr="00975BEA">
        <w:rPr>
          <w:sz w:val="24"/>
          <w:szCs w:val="24"/>
        </w:rPr>
        <w:t xml:space="preserve"> </w:t>
      </w:r>
      <w:r>
        <w:rPr>
          <w:sz w:val="24"/>
          <w:szCs w:val="24"/>
        </w:rPr>
        <w:t>à la hausse des recettes fiscales (+3.824,7 MBIF) et exceptionnelles (+24.329,3 MBIF) légèrement atténuée par la baisse des recettes</w:t>
      </w:r>
      <w:r w:rsidRPr="00096249">
        <w:rPr>
          <w:sz w:val="24"/>
          <w:szCs w:val="24"/>
        </w:rPr>
        <w:t xml:space="preserve"> </w:t>
      </w:r>
      <w:r>
        <w:rPr>
          <w:sz w:val="24"/>
          <w:szCs w:val="24"/>
        </w:rPr>
        <w:t>non fiscales (-686,1 MBIF).</w:t>
      </w:r>
      <w:r w:rsidRPr="002404D0">
        <w:rPr>
          <w:b/>
          <w:sz w:val="24"/>
          <w:szCs w:val="24"/>
        </w:rPr>
        <w:t xml:space="preserve"> </w:t>
      </w:r>
      <w:bookmarkStart w:id="45" w:name="_Toc370721650"/>
      <w:r w:rsidRPr="00E15218">
        <w:rPr>
          <w:b/>
          <w:color w:val="00B0F0"/>
          <w:sz w:val="24"/>
          <w:szCs w:val="24"/>
        </w:rPr>
        <w:t>Dépenses</w:t>
      </w:r>
      <w:bookmarkEnd w:id="45"/>
    </w:p>
    <w:p w:rsidR="006057A5" w:rsidRDefault="00E15218" w:rsidP="006057A5">
      <w:pPr>
        <w:spacing w:after="120"/>
        <w:jc w:val="both"/>
        <w:rPr>
          <w:sz w:val="24"/>
          <w:szCs w:val="24"/>
        </w:rPr>
      </w:pPr>
      <w:r>
        <w:rPr>
          <w:sz w:val="24"/>
          <w:szCs w:val="24"/>
        </w:rPr>
        <w:t>Les dépenses de personnel cumulées à fin Août 2013 se sont fixées à 194</w:t>
      </w:r>
      <w:r w:rsidRPr="00E3744A">
        <w:rPr>
          <w:sz w:val="24"/>
          <w:szCs w:val="24"/>
        </w:rPr>
        <w:t>.</w:t>
      </w:r>
      <w:r>
        <w:rPr>
          <w:sz w:val="24"/>
          <w:szCs w:val="24"/>
        </w:rPr>
        <w:t>327</w:t>
      </w:r>
      <w:r w:rsidRPr="00E3744A">
        <w:rPr>
          <w:sz w:val="24"/>
          <w:szCs w:val="24"/>
        </w:rPr>
        <w:t>,</w:t>
      </w:r>
      <w:r>
        <w:rPr>
          <w:sz w:val="24"/>
          <w:szCs w:val="24"/>
        </w:rPr>
        <w:t>2 contre 185</w:t>
      </w:r>
      <w:r w:rsidRPr="00E3744A">
        <w:rPr>
          <w:sz w:val="24"/>
          <w:szCs w:val="24"/>
        </w:rPr>
        <w:t>.</w:t>
      </w:r>
      <w:r>
        <w:rPr>
          <w:sz w:val="24"/>
          <w:szCs w:val="24"/>
        </w:rPr>
        <w:t>396</w:t>
      </w:r>
      <w:r w:rsidRPr="00E3744A">
        <w:rPr>
          <w:sz w:val="24"/>
          <w:szCs w:val="24"/>
        </w:rPr>
        <w:t>,</w:t>
      </w:r>
      <w:r>
        <w:rPr>
          <w:sz w:val="24"/>
          <w:szCs w:val="24"/>
        </w:rPr>
        <w:t xml:space="preserve">2 </w:t>
      </w:r>
      <w:r w:rsidRPr="00E3744A">
        <w:rPr>
          <w:sz w:val="24"/>
          <w:szCs w:val="24"/>
        </w:rPr>
        <w:t>MBIF</w:t>
      </w:r>
      <w:r>
        <w:rPr>
          <w:sz w:val="24"/>
          <w:szCs w:val="24"/>
        </w:rPr>
        <w:t xml:space="preserve"> à la fin de la </w:t>
      </w:r>
      <w:r>
        <w:rPr>
          <w:sz w:val="24"/>
          <w:szCs w:val="24"/>
        </w:rPr>
        <w:lastRenderedPageBreak/>
        <w:t>période correspondante de 2012, soit une hausse de 8.931,0 MBIF en liaison avec l’augmentation des dépenses de personnel dans le budget de l’Etat de 2013.</w:t>
      </w:r>
      <w:r w:rsidRPr="00E3744A">
        <w:rPr>
          <w:sz w:val="24"/>
          <w:szCs w:val="24"/>
        </w:rPr>
        <w:t xml:space="preserve"> </w:t>
      </w:r>
      <w:r w:rsidR="003D78CB">
        <w:rPr>
          <w:sz w:val="24"/>
          <w:szCs w:val="24"/>
        </w:rPr>
        <w:t xml:space="preserve"> </w:t>
      </w:r>
      <w:bookmarkStart w:id="46" w:name="_Toc370721651"/>
    </w:p>
    <w:p w:rsidR="00E15218" w:rsidRPr="005C20A2" w:rsidRDefault="00E15218" w:rsidP="006057A5">
      <w:pPr>
        <w:spacing w:after="120"/>
        <w:jc w:val="both"/>
        <w:rPr>
          <w:b/>
          <w:color w:val="00B0F0"/>
          <w:sz w:val="24"/>
          <w:szCs w:val="24"/>
        </w:rPr>
      </w:pPr>
      <w:r w:rsidRPr="005C20A2">
        <w:rPr>
          <w:b/>
          <w:color w:val="00B0F0"/>
          <w:sz w:val="24"/>
          <w:szCs w:val="24"/>
        </w:rPr>
        <w:t>Dette publique</w:t>
      </w:r>
      <w:bookmarkEnd w:id="46"/>
    </w:p>
    <w:p w:rsidR="00E15218" w:rsidRPr="002404D0" w:rsidRDefault="00E15218" w:rsidP="006057A5">
      <w:pPr>
        <w:spacing w:after="120"/>
        <w:jc w:val="both"/>
        <w:rPr>
          <w:sz w:val="24"/>
          <w:szCs w:val="24"/>
        </w:rPr>
      </w:pPr>
      <w:r>
        <w:rPr>
          <w:sz w:val="24"/>
          <w:szCs w:val="24"/>
        </w:rPr>
        <w:t>Se fixant à 1</w:t>
      </w:r>
      <w:r w:rsidRPr="002404D0">
        <w:rPr>
          <w:sz w:val="24"/>
          <w:szCs w:val="24"/>
        </w:rPr>
        <w:t>.</w:t>
      </w:r>
      <w:r>
        <w:rPr>
          <w:sz w:val="24"/>
          <w:szCs w:val="24"/>
        </w:rPr>
        <w:t>189</w:t>
      </w:r>
      <w:r w:rsidRPr="002404D0">
        <w:rPr>
          <w:sz w:val="24"/>
          <w:szCs w:val="24"/>
        </w:rPr>
        <w:t>.</w:t>
      </w:r>
      <w:r>
        <w:rPr>
          <w:sz w:val="24"/>
          <w:szCs w:val="24"/>
        </w:rPr>
        <w:t>170</w:t>
      </w:r>
      <w:r w:rsidRPr="002404D0">
        <w:rPr>
          <w:sz w:val="24"/>
          <w:szCs w:val="24"/>
        </w:rPr>
        <w:t>,</w:t>
      </w:r>
      <w:r>
        <w:rPr>
          <w:sz w:val="24"/>
          <w:szCs w:val="24"/>
        </w:rPr>
        <w:t xml:space="preserve">5 </w:t>
      </w:r>
      <w:r w:rsidRPr="002404D0">
        <w:rPr>
          <w:sz w:val="24"/>
          <w:szCs w:val="24"/>
        </w:rPr>
        <w:t xml:space="preserve">MBIF </w:t>
      </w:r>
      <w:r>
        <w:rPr>
          <w:sz w:val="24"/>
          <w:szCs w:val="24"/>
        </w:rPr>
        <w:t>à fin</w:t>
      </w:r>
      <w:r w:rsidRPr="002404D0">
        <w:rPr>
          <w:sz w:val="24"/>
          <w:szCs w:val="24"/>
        </w:rPr>
        <w:t xml:space="preserve"> </w:t>
      </w:r>
      <w:r>
        <w:rPr>
          <w:sz w:val="24"/>
          <w:szCs w:val="24"/>
        </w:rPr>
        <w:t xml:space="preserve">Août </w:t>
      </w:r>
      <w:r w:rsidRPr="002404D0">
        <w:rPr>
          <w:sz w:val="24"/>
          <w:szCs w:val="24"/>
        </w:rPr>
        <w:t xml:space="preserve"> 201</w:t>
      </w:r>
      <w:r>
        <w:rPr>
          <w:sz w:val="24"/>
          <w:szCs w:val="24"/>
        </w:rPr>
        <w:t>3</w:t>
      </w:r>
      <w:r w:rsidRPr="002404D0">
        <w:rPr>
          <w:sz w:val="24"/>
          <w:szCs w:val="24"/>
        </w:rPr>
        <w:t xml:space="preserve"> contre</w:t>
      </w:r>
      <w:r>
        <w:rPr>
          <w:sz w:val="24"/>
          <w:szCs w:val="24"/>
        </w:rPr>
        <w:t xml:space="preserve"> 1.042.905,7</w:t>
      </w:r>
      <w:r w:rsidRPr="002404D0">
        <w:rPr>
          <w:sz w:val="24"/>
          <w:szCs w:val="24"/>
        </w:rPr>
        <w:t xml:space="preserve"> MBIF</w:t>
      </w:r>
      <w:r>
        <w:rPr>
          <w:sz w:val="24"/>
          <w:szCs w:val="24"/>
        </w:rPr>
        <w:t xml:space="preserve"> à la fin de la période correspondante de 2012, l</w:t>
      </w:r>
      <w:r w:rsidRPr="002404D0">
        <w:rPr>
          <w:sz w:val="24"/>
          <w:szCs w:val="24"/>
        </w:rPr>
        <w:t xml:space="preserve">’encours de la dette publique a progressé de </w:t>
      </w:r>
      <w:r>
        <w:rPr>
          <w:sz w:val="24"/>
          <w:szCs w:val="24"/>
        </w:rPr>
        <w:t>146.264,8</w:t>
      </w:r>
      <w:r w:rsidRPr="002404D0">
        <w:rPr>
          <w:sz w:val="24"/>
          <w:szCs w:val="24"/>
        </w:rPr>
        <w:t xml:space="preserve"> MBIF</w:t>
      </w:r>
      <w:r>
        <w:rPr>
          <w:sz w:val="24"/>
          <w:szCs w:val="24"/>
        </w:rPr>
        <w:t>,</w:t>
      </w:r>
      <w:r w:rsidRPr="002404D0">
        <w:rPr>
          <w:sz w:val="24"/>
          <w:szCs w:val="24"/>
        </w:rPr>
        <w:t xml:space="preserve"> soit </w:t>
      </w:r>
      <w:r>
        <w:rPr>
          <w:sz w:val="24"/>
          <w:szCs w:val="24"/>
        </w:rPr>
        <w:t>14</w:t>
      </w:r>
      <w:r w:rsidRPr="002404D0">
        <w:rPr>
          <w:sz w:val="24"/>
          <w:szCs w:val="24"/>
        </w:rPr>
        <w:t>,</w:t>
      </w:r>
      <w:r>
        <w:rPr>
          <w:sz w:val="24"/>
          <w:szCs w:val="24"/>
        </w:rPr>
        <w:t>0</w:t>
      </w:r>
      <w:r w:rsidRPr="002404D0">
        <w:rPr>
          <w:sz w:val="24"/>
          <w:szCs w:val="24"/>
        </w:rPr>
        <w:t xml:space="preserve"> p.c.</w:t>
      </w:r>
      <w:r>
        <w:rPr>
          <w:sz w:val="24"/>
          <w:szCs w:val="24"/>
        </w:rPr>
        <w:t>,</w:t>
      </w:r>
      <w:r w:rsidRPr="002404D0">
        <w:rPr>
          <w:sz w:val="24"/>
          <w:szCs w:val="24"/>
        </w:rPr>
        <w:t xml:space="preserve"> </w:t>
      </w:r>
      <w:r>
        <w:rPr>
          <w:sz w:val="24"/>
          <w:szCs w:val="24"/>
        </w:rPr>
        <w:t>en raison de l’augmentation de la dette</w:t>
      </w:r>
      <w:r w:rsidRPr="002404D0">
        <w:rPr>
          <w:sz w:val="24"/>
          <w:szCs w:val="24"/>
        </w:rPr>
        <w:t xml:space="preserve"> </w:t>
      </w:r>
      <w:r>
        <w:rPr>
          <w:sz w:val="24"/>
          <w:szCs w:val="24"/>
        </w:rPr>
        <w:t>intérieure (+73.991</w:t>
      </w:r>
      <w:r w:rsidRPr="002404D0">
        <w:rPr>
          <w:sz w:val="24"/>
          <w:szCs w:val="24"/>
        </w:rPr>
        <w:t>,</w:t>
      </w:r>
      <w:r>
        <w:rPr>
          <w:sz w:val="24"/>
          <w:szCs w:val="24"/>
        </w:rPr>
        <w:t>4</w:t>
      </w:r>
      <w:r w:rsidRPr="009747D7">
        <w:rPr>
          <w:sz w:val="24"/>
          <w:szCs w:val="24"/>
        </w:rPr>
        <w:t xml:space="preserve"> </w:t>
      </w:r>
      <w:r w:rsidRPr="002404D0">
        <w:rPr>
          <w:sz w:val="24"/>
          <w:szCs w:val="24"/>
        </w:rPr>
        <w:t>MBIF</w:t>
      </w:r>
      <w:r>
        <w:rPr>
          <w:sz w:val="24"/>
          <w:szCs w:val="24"/>
        </w:rPr>
        <w:t xml:space="preserve">) </w:t>
      </w:r>
      <w:r w:rsidRPr="002404D0">
        <w:rPr>
          <w:sz w:val="24"/>
          <w:szCs w:val="24"/>
        </w:rPr>
        <w:t>et extérieure</w:t>
      </w:r>
      <w:r>
        <w:rPr>
          <w:sz w:val="24"/>
          <w:szCs w:val="24"/>
        </w:rPr>
        <w:t xml:space="preserve"> (+72.273,4 MBIF). </w:t>
      </w:r>
    </w:p>
    <w:p w:rsidR="006057A5" w:rsidRDefault="00E15218" w:rsidP="006057A5">
      <w:pPr>
        <w:spacing w:after="120"/>
        <w:jc w:val="both"/>
        <w:rPr>
          <w:sz w:val="24"/>
          <w:szCs w:val="24"/>
        </w:rPr>
      </w:pPr>
      <w:r>
        <w:rPr>
          <w:sz w:val="24"/>
          <w:szCs w:val="24"/>
        </w:rPr>
        <w:t xml:space="preserve"> D’un mois à l’autre</w:t>
      </w:r>
      <w:r w:rsidRPr="002404D0">
        <w:rPr>
          <w:sz w:val="24"/>
          <w:szCs w:val="24"/>
        </w:rPr>
        <w:t xml:space="preserve">, l’encours de la dette publique </w:t>
      </w:r>
      <w:r>
        <w:rPr>
          <w:sz w:val="24"/>
          <w:szCs w:val="24"/>
        </w:rPr>
        <w:t>a diminué</w:t>
      </w:r>
      <w:r w:rsidRPr="002404D0">
        <w:rPr>
          <w:sz w:val="24"/>
          <w:szCs w:val="24"/>
        </w:rPr>
        <w:t xml:space="preserve"> de </w:t>
      </w:r>
      <w:r>
        <w:rPr>
          <w:sz w:val="24"/>
          <w:szCs w:val="24"/>
        </w:rPr>
        <w:t xml:space="preserve">5.728,7 </w:t>
      </w:r>
      <w:r w:rsidRPr="002404D0">
        <w:rPr>
          <w:sz w:val="24"/>
          <w:szCs w:val="24"/>
        </w:rPr>
        <w:t>MBIF</w:t>
      </w:r>
      <w:r>
        <w:rPr>
          <w:sz w:val="24"/>
          <w:szCs w:val="24"/>
        </w:rPr>
        <w:t xml:space="preserve"> consécutivement à la baise de la dette  </w:t>
      </w:r>
      <w:r w:rsidRPr="002404D0">
        <w:rPr>
          <w:sz w:val="24"/>
          <w:szCs w:val="24"/>
        </w:rPr>
        <w:t xml:space="preserve">intérieure </w:t>
      </w:r>
      <w:r>
        <w:rPr>
          <w:sz w:val="24"/>
          <w:szCs w:val="24"/>
        </w:rPr>
        <w:t>(-4.726,4 MBIF) et</w:t>
      </w:r>
      <w:r w:rsidRPr="002404D0">
        <w:rPr>
          <w:sz w:val="24"/>
          <w:szCs w:val="24"/>
        </w:rPr>
        <w:t xml:space="preserve"> extérieure</w:t>
      </w:r>
      <w:r w:rsidR="00E0307B">
        <w:rPr>
          <w:sz w:val="24"/>
          <w:szCs w:val="24"/>
        </w:rPr>
        <w:t xml:space="preserve">   </w:t>
      </w:r>
      <w:r w:rsidRPr="002404D0">
        <w:rPr>
          <w:sz w:val="24"/>
          <w:szCs w:val="24"/>
        </w:rPr>
        <w:t xml:space="preserve"> </w:t>
      </w:r>
      <w:r>
        <w:rPr>
          <w:sz w:val="24"/>
          <w:szCs w:val="24"/>
        </w:rPr>
        <w:t xml:space="preserve">(-1.002,3 MBIF). </w:t>
      </w:r>
      <w:bookmarkStart w:id="47" w:name="_Toc370721652"/>
    </w:p>
    <w:p w:rsidR="00E15218" w:rsidRPr="005C20A2" w:rsidRDefault="00E15218" w:rsidP="006057A5">
      <w:pPr>
        <w:spacing w:after="120"/>
        <w:jc w:val="both"/>
        <w:rPr>
          <w:b/>
          <w:color w:val="00B0F0"/>
          <w:sz w:val="24"/>
          <w:szCs w:val="24"/>
        </w:rPr>
      </w:pPr>
      <w:r w:rsidRPr="005C20A2">
        <w:rPr>
          <w:b/>
          <w:color w:val="00B0F0"/>
          <w:sz w:val="24"/>
          <w:szCs w:val="24"/>
        </w:rPr>
        <w:t>- Dette intérieure</w:t>
      </w:r>
      <w:bookmarkEnd w:id="47"/>
    </w:p>
    <w:p w:rsidR="00E15218" w:rsidRDefault="00E15218" w:rsidP="006057A5">
      <w:pPr>
        <w:spacing w:after="120"/>
        <w:jc w:val="both"/>
        <w:rPr>
          <w:sz w:val="24"/>
          <w:szCs w:val="24"/>
        </w:rPr>
      </w:pPr>
      <w:r>
        <w:rPr>
          <w:sz w:val="24"/>
          <w:szCs w:val="24"/>
        </w:rPr>
        <w:t>En glissement annuel</w:t>
      </w:r>
      <w:r w:rsidRPr="002404D0">
        <w:rPr>
          <w:sz w:val="24"/>
          <w:szCs w:val="24"/>
        </w:rPr>
        <w:t>, le stock de la dette</w:t>
      </w:r>
      <w:r>
        <w:rPr>
          <w:sz w:val="24"/>
          <w:szCs w:val="24"/>
        </w:rPr>
        <w:t xml:space="preserve"> publique</w:t>
      </w:r>
      <w:r w:rsidRPr="002404D0">
        <w:rPr>
          <w:sz w:val="24"/>
          <w:szCs w:val="24"/>
        </w:rPr>
        <w:t xml:space="preserve"> intérieure</w:t>
      </w:r>
      <w:r>
        <w:rPr>
          <w:sz w:val="24"/>
          <w:szCs w:val="24"/>
        </w:rPr>
        <w:t xml:space="preserve"> à fin août  2013 </w:t>
      </w:r>
      <w:r w:rsidRPr="002404D0">
        <w:rPr>
          <w:sz w:val="24"/>
          <w:szCs w:val="24"/>
        </w:rPr>
        <w:t xml:space="preserve">a </w:t>
      </w:r>
      <w:r>
        <w:rPr>
          <w:sz w:val="24"/>
          <w:szCs w:val="24"/>
        </w:rPr>
        <w:t>progressé</w:t>
      </w:r>
      <w:r w:rsidRPr="002404D0">
        <w:rPr>
          <w:sz w:val="24"/>
          <w:szCs w:val="24"/>
        </w:rPr>
        <w:t xml:space="preserve"> de </w:t>
      </w:r>
      <w:r>
        <w:rPr>
          <w:sz w:val="24"/>
          <w:szCs w:val="24"/>
        </w:rPr>
        <w:t xml:space="preserve"> 73.991,4 </w:t>
      </w:r>
      <w:r w:rsidRPr="002404D0">
        <w:rPr>
          <w:sz w:val="24"/>
          <w:szCs w:val="24"/>
        </w:rPr>
        <w:t xml:space="preserve">MBIF,  passant de </w:t>
      </w:r>
      <w:r>
        <w:rPr>
          <w:sz w:val="24"/>
          <w:szCs w:val="24"/>
        </w:rPr>
        <w:t>504</w:t>
      </w:r>
      <w:r w:rsidRPr="002404D0">
        <w:rPr>
          <w:sz w:val="24"/>
          <w:szCs w:val="24"/>
        </w:rPr>
        <w:t>.</w:t>
      </w:r>
      <w:r>
        <w:rPr>
          <w:sz w:val="24"/>
          <w:szCs w:val="24"/>
        </w:rPr>
        <w:t>991</w:t>
      </w:r>
      <w:r w:rsidRPr="002404D0">
        <w:rPr>
          <w:sz w:val="24"/>
          <w:szCs w:val="24"/>
        </w:rPr>
        <w:t>,</w:t>
      </w:r>
      <w:r>
        <w:rPr>
          <w:sz w:val="24"/>
          <w:szCs w:val="24"/>
        </w:rPr>
        <w:t>4</w:t>
      </w:r>
      <w:r w:rsidRPr="002404D0">
        <w:rPr>
          <w:sz w:val="24"/>
          <w:szCs w:val="24"/>
        </w:rPr>
        <w:t xml:space="preserve"> à </w:t>
      </w:r>
      <w:r>
        <w:rPr>
          <w:sz w:val="24"/>
          <w:szCs w:val="24"/>
        </w:rPr>
        <w:t>578</w:t>
      </w:r>
      <w:r w:rsidRPr="002404D0">
        <w:rPr>
          <w:sz w:val="24"/>
          <w:szCs w:val="24"/>
        </w:rPr>
        <w:t>.</w:t>
      </w:r>
      <w:r>
        <w:rPr>
          <w:sz w:val="24"/>
          <w:szCs w:val="24"/>
        </w:rPr>
        <w:t>982</w:t>
      </w:r>
      <w:r w:rsidRPr="002404D0">
        <w:rPr>
          <w:sz w:val="24"/>
          <w:szCs w:val="24"/>
        </w:rPr>
        <w:t>,</w:t>
      </w:r>
      <w:r>
        <w:rPr>
          <w:sz w:val="24"/>
          <w:szCs w:val="24"/>
        </w:rPr>
        <w:t>8</w:t>
      </w:r>
      <w:r w:rsidRPr="00555858">
        <w:rPr>
          <w:sz w:val="24"/>
          <w:szCs w:val="24"/>
        </w:rPr>
        <w:t xml:space="preserve"> MBIF</w:t>
      </w:r>
      <w:r>
        <w:rPr>
          <w:sz w:val="24"/>
          <w:szCs w:val="24"/>
        </w:rPr>
        <w:t xml:space="preserve"> en liaison avec l’augmentation de l’endettement de l’</w:t>
      </w:r>
      <w:r w:rsidRPr="002404D0">
        <w:rPr>
          <w:sz w:val="24"/>
          <w:szCs w:val="24"/>
        </w:rPr>
        <w:t>Etat</w:t>
      </w:r>
      <w:r>
        <w:rPr>
          <w:sz w:val="24"/>
          <w:szCs w:val="24"/>
        </w:rPr>
        <w:t xml:space="preserve"> vis-à-vis du secteur bancaire (+136.576,5 MBIF) légèrement  atténuée par le désendettement de l’Etat envers le secteur </w:t>
      </w:r>
      <w:r w:rsidRPr="002404D0">
        <w:rPr>
          <w:sz w:val="24"/>
          <w:szCs w:val="24"/>
        </w:rPr>
        <w:t>non  bancaire (</w:t>
      </w:r>
      <w:r>
        <w:rPr>
          <w:sz w:val="24"/>
          <w:szCs w:val="24"/>
        </w:rPr>
        <w:t>-62.078,3</w:t>
      </w:r>
      <w:r w:rsidRPr="002404D0">
        <w:rPr>
          <w:sz w:val="24"/>
          <w:szCs w:val="24"/>
        </w:rPr>
        <w:t xml:space="preserve"> MBIF). </w:t>
      </w:r>
    </w:p>
    <w:p w:rsidR="00E15218" w:rsidRDefault="00E15218" w:rsidP="006057A5">
      <w:pPr>
        <w:spacing w:after="120"/>
        <w:jc w:val="both"/>
        <w:rPr>
          <w:sz w:val="24"/>
          <w:szCs w:val="24"/>
        </w:rPr>
      </w:pPr>
      <w:r>
        <w:rPr>
          <w:sz w:val="24"/>
          <w:szCs w:val="24"/>
        </w:rPr>
        <w:t xml:space="preserve">Au niveau du secteur bancaire, la progression de l’endettement de l’Etat a résulté de la hausse des engagements de l’Etat envers la Banque Centrale (+85.129,7 MBIF) et les banques commerciales (+51.742,5 MBIF). </w:t>
      </w:r>
    </w:p>
    <w:p w:rsidR="00E15218" w:rsidRDefault="00E15218" w:rsidP="003D78CB">
      <w:pPr>
        <w:spacing w:after="120"/>
        <w:jc w:val="both"/>
        <w:rPr>
          <w:sz w:val="24"/>
          <w:szCs w:val="24"/>
        </w:rPr>
      </w:pPr>
      <w:r>
        <w:rPr>
          <w:sz w:val="24"/>
          <w:szCs w:val="24"/>
        </w:rPr>
        <w:t xml:space="preserve">Du côté du secteur non bancaire, le désendettement a résulté de la diminution des </w:t>
      </w:r>
      <w:r w:rsidRPr="002404D0">
        <w:rPr>
          <w:sz w:val="24"/>
          <w:szCs w:val="24"/>
        </w:rPr>
        <w:t>arriérés en dépense</w:t>
      </w:r>
      <w:r>
        <w:rPr>
          <w:sz w:val="24"/>
          <w:szCs w:val="24"/>
        </w:rPr>
        <w:t xml:space="preserve"> </w:t>
      </w:r>
      <w:r w:rsidR="007B7E4B">
        <w:rPr>
          <w:sz w:val="24"/>
          <w:szCs w:val="24"/>
        </w:rPr>
        <w:t xml:space="preserve">           </w:t>
      </w:r>
      <w:r>
        <w:rPr>
          <w:sz w:val="24"/>
          <w:szCs w:val="24"/>
        </w:rPr>
        <w:t xml:space="preserve">(-79.049,5 MBIF) qui  a l’emporté sur la </w:t>
      </w:r>
      <w:r>
        <w:rPr>
          <w:sz w:val="24"/>
          <w:szCs w:val="24"/>
        </w:rPr>
        <w:lastRenderedPageBreak/>
        <w:t xml:space="preserve">progression des engagements de l’Etat  au titre des bons et obligations du Trésor (+16.971,2 MBIF). </w:t>
      </w:r>
    </w:p>
    <w:p w:rsidR="005A34E0" w:rsidRDefault="00E15218" w:rsidP="006057A5">
      <w:pPr>
        <w:spacing w:after="120"/>
        <w:jc w:val="both"/>
        <w:rPr>
          <w:sz w:val="24"/>
          <w:szCs w:val="24"/>
        </w:rPr>
      </w:pPr>
      <w:r>
        <w:rPr>
          <w:sz w:val="24"/>
          <w:szCs w:val="24"/>
        </w:rPr>
        <w:t>En flux mensuels</w:t>
      </w:r>
      <w:r w:rsidRPr="002404D0">
        <w:rPr>
          <w:sz w:val="24"/>
          <w:szCs w:val="24"/>
        </w:rPr>
        <w:t>, le stock de l</w:t>
      </w:r>
      <w:r>
        <w:rPr>
          <w:sz w:val="24"/>
          <w:szCs w:val="24"/>
        </w:rPr>
        <w:t xml:space="preserve">a dette intérieure a diminué de 4.726,4  </w:t>
      </w:r>
      <w:r w:rsidRPr="002404D0">
        <w:rPr>
          <w:sz w:val="24"/>
          <w:szCs w:val="24"/>
        </w:rPr>
        <w:t xml:space="preserve">MBIF, </w:t>
      </w:r>
      <w:r>
        <w:rPr>
          <w:sz w:val="24"/>
          <w:szCs w:val="24"/>
        </w:rPr>
        <w:t>passant</w:t>
      </w:r>
      <w:r w:rsidRPr="002404D0">
        <w:rPr>
          <w:sz w:val="24"/>
          <w:szCs w:val="24"/>
        </w:rPr>
        <w:t xml:space="preserve"> de </w:t>
      </w:r>
      <w:r>
        <w:rPr>
          <w:sz w:val="24"/>
          <w:szCs w:val="24"/>
        </w:rPr>
        <w:t xml:space="preserve">583.709,2 à 578.982,8 MBIF suite au désendettement de l’Etat aussi bien vis-à-vis du secteur bancaire (-4.487,6 MBIF) que </w:t>
      </w:r>
      <w:r w:rsidRPr="002404D0">
        <w:rPr>
          <w:sz w:val="24"/>
          <w:szCs w:val="24"/>
        </w:rPr>
        <w:t xml:space="preserve">non  bancaire </w:t>
      </w:r>
      <w:r>
        <w:rPr>
          <w:sz w:val="24"/>
          <w:szCs w:val="24"/>
        </w:rPr>
        <w:t xml:space="preserve">(-238,8 MBIF).   </w:t>
      </w:r>
      <w:bookmarkStart w:id="48" w:name="_Toc370721653"/>
    </w:p>
    <w:p w:rsidR="00E15218" w:rsidRPr="00E15218" w:rsidRDefault="00E15218" w:rsidP="006057A5">
      <w:pPr>
        <w:spacing w:after="120"/>
        <w:jc w:val="both"/>
        <w:rPr>
          <w:b/>
          <w:color w:val="00B0F0"/>
          <w:sz w:val="24"/>
          <w:szCs w:val="24"/>
        </w:rPr>
      </w:pPr>
      <w:r w:rsidRPr="00E15218">
        <w:rPr>
          <w:b/>
          <w:color w:val="00B0F0"/>
          <w:sz w:val="24"/>
          <w:szCs w:val="24"/>
        </w:rPr>
        <w:t>- Dette extérieure</w:t>
      </w:r>
      <w:bookmarkEnd w:id="48"/>
    </w:p>
    <w:p w:rsidR="00E15218" w:rsidRPr="002404D0" w:rsidRDefault="00E15218" w:rsidP="006057A5">
      <w:pPr>
        <w:spacing w:after="120"/>
        <w:jc w:val="both"/>
        <w:rPr>
          <w:sz w:val="24"/>
          <w:szCs w:val="24"/>
        </w:rPr>
      </w:pPr>
      <w:r w:rsidRPr="002404D0">
        <w:rPr>
          <w:sz w:val="24"/>
          <w:szCs w:val="24"/>
        </w:rPr>
        <w:t>En glissement annuel, l’encours de la dette publique extérieure à</w:t>
      </w:r>
      <w:r>
        <w:rPr>
          <w:sz w:val="24"/>
          <w:szCs w:val="24"/>
        </w:rPr>
        <w:t xml:space="preserve"> fin</w:t>
      </w:r>
      <w:r w:rsidRPr="002404D0">
        <w:rPr>
          <w:sz w:val="24"/>
          <w:szCs w:val="24"/>
        </w:rPr>
        <w:t xml:space="preserve"> </w:t>
      </w:r>
      <w:r>
        <w:rPr>
          <w:sz w:val="24"/>
          <w:szCs w:val="24"/>
        </w:rPr>
        <w:t>Août 20</w:t>
      </w:r>
      <w:r w:rsidRPr="002404D0">
        <w:rPr>
          <w:sz w:val="24"/>
          <w:szCs w:val="24"/>
        </w:rPr>
        <w:t>1</w:t>
      </w:r>
      <w:r>
        <w:rPr>
          <w:sz w:val="24"/>
          <w:szCs w:val="24"/>
        </w:rPr>
        <w:t>3</w:t>
      </w:r>
      <w:r w:rsidRPr="002404D0">
        <w:rPr>
          <w:sz w:val="24"/>
          <w:szCs w:val="24"/>
        </w:rPr>
        <w:t xml:space="preserve"> </w:t>
      </w:r>
      <w:r>
        <w:rPr>
          <w:sz w:val="24"/>
          <w:szCs w:val="24"/>
        </w:rPr>
        <w:t xml:space="preserve">a progressé </w:t>
      </w:r>
      <w:r w:rsidRPr="002404D0">
        <w:rPr>
          <w:sz w:val="24"/>
          <w:szCs w:val="24"/>
        </w:rPr>
        <w:t xml:space="preserve">de </w:t>
      </w:r>
      <w:r>
        <w:rPr>
          <w:sz w:val="24"/>
          <w:szCs w:val="24"/>
        </w:rPr>
        <w:t>72</w:t>
      </w:r>
      <w:r w:rsidRPr="002404D0">
        <w:rPr>
          <w:sz w:val="24"/>
          <w:szCs w:val="24"/>
        </w:rPr>
        <w:t>.</w:t>
      </w:r>
      <w:r>
        <w:rPr>
          <w:sz w:val="24"/>
          <w:szCs w:val="24"/>
        </w:rPr>
        <w:t>273</w:t>
      </w:r>
      <w:r w:rsidRPr="002404D0">
        <w:rPr>
          <w:sz w:val="24"/>
          <w:szCs w:val="24"/>
        </w:rPr>
        <w:t>,</w:t>
      </w:r>
      <w:r>
        <w:rPr>
          <w:sz w:val="24"/>
          <w:szCs w:val="24"/>
        </w:rPr>
        <w:t>4 MBIF, passant de 537.914,3 à 610.187,7 M</w:t>
      </w:r>
      <w:r w:rsidRPr="002404D0">
        <w:rPr>
          <w:sz w:val="24"/>
          <w:szCs w:val="24"/>
        </w:rPr>
        <w:t xml:space="preserve">BIF. Cette </w:t>
      </w:r>
      <w:r>
        <w:rPr>
          <w:sz w:val="24"/>
          <w:szCs w:val="24"/>
        </w:rPr>
        <w:t>progression</w:t>
      </w:r>
      <w:r w:rsidRPr="002404D0">
        <w:rPr>
          <w:sz w:val="24"/>
          <w:szCs w:val="24"/>
        </w:rPr>
        <w:t xml:space="preserve"> a résulté des nouveaux tirages </w:t>
      </w:r>
      <w:r>
        <w:rPr>
          <w:sz w:val="24"/>
          <w:szCs w:val="24"/>
        </w:rPr>
        <w:t>(53.245,7</w:t>
      </w:r>
      <w:r w:rsidRPr="002404D0">
        <w:rPr>
          <w:sz w:val="24"/>
          <w:szCs w:val="24"/>
        </w:rPr>
        <w:t xml:space="preserve"> MBIF</w:t>
      </w:r>
      <w:r>
        <w:rPr>
          <w:sz w:val="24"/>
          <w:szCs w:val="24"/>
        </w:rPr>
        <w:t>) et des plus-values de réévaluation (27.245,1</w:t>
      </w:r>
      <w:r w:rsidRPr="002404D0">
        <w:rPr>
          <w:sz w:val="24"/>
          <w:szCs w:val="24"/>
        </w:rPr>
        <w:t xml:space="preserve"> MBIF</w:t>
      </w:r>
      <w:r>
        <w:rPr>
          <w:sz w:val="24"/>
          <w:szCs w:val="24"/>
        </w:rPr>
        <w:t xml:space="preserve">), </w:t>
      </w:r>
      <w:r w:rsidRPr="002404D0">
        <w:rPr>
          <w:sz w:val="24"/>
          <w:szCs w:val="24"/>
        </w:rPr>
        <w:t>légèrement atténué</w:t>
      </w:r>
      <w:r>
        <w:rPr>
          <w:sz w:val="24"/>
          <w:szCs w:val="24"/>
        </w:rPr>
        <w:t>e</w:t>
      </w:r>
      <w:r w:rsidRPr="002404D0">
        <w:rPr>
          <w:sz w:val="24"/>
          <w:szCs w:val="24"/>
        </w:rPr>
        <w:t xml:space="preserve"> par </w:t>
      </w:r>
      <w:r>
        <w:rPr>
          <w:sz w:val="24"/>
          <w:szCs w:val="24"/>
        </w:rPr>
        <w:t>l’amortissement</w:t>
      </w:r>
      <w:r w:rsidRPr="002404D0">
        <w:rPr>
          <w:sz w:val="24"/>
          <w:szCs w:val="24"/>
        </w:rPr>
        <w:t xml:space="preserve"> </w:t>
      </w:r>
      <w:r w:rsidRPr="003F28B5">
        <w:rPr>
          <w:sz w:val="24"/>
          <w:szCs w:val="24"/>
        </w:rPr>
        <w:t xml:space="preserve">de </w:t>
      </w:r>
      <w:r>
        <w:rPr>
          <w:sz w:val="24"/>
          <w:szCs w:val="24"/>
        </w:rPr>
        <w:t xml:space="preserve">8.217,5 </w:t>
      </w:r>
      <w:r w:rsidRPr="003F28B5">
        <w:rPr>
          <w:sz w:val="24"/>
          <w:szCs w:val="24"/>
        </w:rPr>
        <w:t>MBIF</w:t>
      </w:r>
      <w:r w:rsidRPr="002404D0">
        <w:rPr>
          <w:sz w:val="24"/>
          <w:szCs w:val="24"/>
        </w:rPr>
        <w:t xml:space="preserve">.  </w:t>
      </w:r>
    </w:p>
    <w:p w:rsidR="00E15218" w:rsidRDefault="00E15218" w:rsidP="006057A5">
      <w:pPr>
        <w:spacing w:after="120"/>
        <w:jc w:val="both"/>
        <w:rPr>
          <w:sz w:val="24"/>
          <w:szCs w:val="24"/>
        </w:rPr>
      </w:pPr>
      <w:r>
        <w:rPr>
          <w:sz w:val="24"/>
          <w:szCs w:val="24"/>
        </w:rPr>
        <w:t xml:space="preserve">D’un mois à l’autre, l’encours de la dette publique extérieure </w:t>
      </w:r>
      <w:r w:rsidRPr="003F28B5">
        <w:rPr>
          <w:sz w:val="24"/>
          <w:szCs w:val="24"/>
        </w:rPr>
        <w:t xml:space="preserve">a </w:t>
      </w:r>
      <w:r>
        <w:rPr>
          <w:sz w:val="24"/>
          <w:szCs w:val="24"/>
        </w:rPr>
        <w:t>diminué</w:t>
      </w:r>
      <w:r w:rsidRPr="003F28B5">
        <w:rPr>
          <w:sz w:val="24"/>
          <w:szCs w:val="24"/>
        </w:rPr>
        <w:t xml:space="preserve"> de </w:t>
      </w:r>
      <w:r>
        <w:rPr>
          <w:sz w:val="24"/>
          <w:szCs w:val="24"/>
        </w:rPr>
        <w:t>1.002</w:t>
      </w:r>
      <w:r w:rsidRPr="003F28B5">
        <w:rPr>
          <w:sz w:val="24"/>
          <w:szCs w:val="24"/>
        </w:rPr>
        <w:t>,</w:t>
      </w:r>
      <w:r>
        <w:rPr>
          <w:sz w:val="24"/>
          <w:szCs w:val="24"/>
        </w:rPr>
        <w:t>3</w:t>
      </w:r>
      <w:r w:rsidRPr="003F28B5">
        <w:rPr>
          <w:sz w:val="24"/>
          <w:szCs w:val="24"/>
        </w:rPr>
        <w:t xml:space="preserve"> MBIF</w:t>
      </w:r>
      <w:r>
        <w:rPr>
          <w:sz w:val="24"/>
          <w:szCs w:val="24"/>
        </w:rPr>
        <w:t>,</w:t>
      </w:r>
      <w:r w:rsidRPr="003F28B5">
        <w:rPr>
          <w:sz w:val="24"/>
          <w:szCs w:val="24"/>
        </w:rPr>
        <w:t xml:space="preserve"> </w:t>
      </w:r>
      <w:r>
        <w:rPr>
          <w:sz w:val="24"/>
          <w:szCs w:val="24"/>
        </w:rPr>
        <w:t xml:space="preserve">revenant de </w:t>
      </w:r>
      <w:r w:rsidR="002D741F">
        <w:rPr>
          <w:sz w:val="24"/>
          <w:szCs w:val="24"/>
        </w:rPr>
        <w:t xml:space="preserve">611.190,0 </w:t>
      </w:r>
      <w:r>
        <w:rPr>
          <w:sz w:val="24"/>
          <w:szCs w:val="24"/>
        </w:rPr>
        <w:t xml:space="preserve">à </w:t>
      </w:r>
      <w:r w:rsidR="002D741F">
        <w:rPr>
          <w:sz w:val="24"/>
          <w:szCs w:val="24"/>
        </w:rPr>
        <w:t xml:space="preserve">610.187,7 </w:t>
      </w:r>
      <w:r>
        <w:rPr>
          <w:sz w:val="24"/>
          <w:szCs w:val="24"/>
        </w:rPr>
        <w:t>MBIF</w:t>
      </w:r>
      <w:r w:rsidR="00DF4566">
        <w:rPr>
          <w:sz w:val="24"/>
          <w:szCs w:val="24"/>
        </w:rPr>
        <w:t xml:space="preserve"> suite principalement aux </w:t>
      </w:r>
      <w:r>
        <w:rPr>
          <w:sz w:val="24"/>
          <w:szCs w:val="24"/>
        </w:rPr>
        <w:t>moins-values de réévaluation  (-1.382,4 MBIF</w:t>
      </w:r>
      <w:r w:rsidR="00DF4566">
        <w:rPr>
          <w:sz w:val="24"/>
          <w:szCs w:val="24"/>
        </w:rPr>
        <w:t>).</w:t>
      </w:r>
    </w:p>
    <w:p w:rsidR="00E15218" w:rsidRPr="008A64D9" w:rsidRDefault="00E15218" w:rsidP="003D78CB">
      <w:pPr>
        <w:spacing w:after="120"/>
        <w:jc w:val="both"/>
        <w:rPr>
          <w:rFonts w:ascii="Arial" w:eastAsia="Times New Roman" w:hAnsi="Arial" w:cs="Arial"/>
          <w:sz w:val="20"/>
          <w:szCs w:val="20"/>
          <w:lang w:eastAsia="fr-FR"/>
        </w:rPr>
      </w:pPr>
      <w:r>
        <w:rPr>
          <w:sz w:val="24"/>
          <w:szCs w:val="24"/>
        </w:rPr>
        <w:t xml:space="preserve">Les tirages du mois d’Août 2013 ont été orientés vers le Programme post conflit financé par l’OPEP et le FIDA à hauteur de </w:t>
      </w:r>
      <w:r>
        <w:rPr>
          <w:rFonts w:ascii="Arial" w:eastAsia="Times New Roman" w:hAnsi="Arial" w:cs="Arial"/>
          <w:sz w:val="20"/>
          <w:szCs w:val="20"/>
          <w:lang w:eastAsia="fr-FR"/>
        </w:rPr>
        <w:t xml:space="preserve">198,86 </w:t>
      </w:r>
      <w:r>
        <w:rPr>
          <w:sz w:val="24"/>
          <w:szCs w:val="24"/>
        </w:rPr>
        <w:t xml:space="preserve">MBIF et de 205,86 MBIF respectivement.  </w:t>
      </w:r>
      <w:r w:rsidR="00EA37CF">
        <w:rPr>
          <w:sz w:val="24"/>
          <w:szCs w:val="24"/>
        </w:rPr>
        <w:t xml:space="preserve"> </w:t>
      </w:r>
    </w:p>
    <w:p w:rsidR="00DF4566" w:rsidRDefault="00E15218" w:rsidP="00DF4566">
      <w:pPr>
        <w:spacing w:after="120"/>
        <w:jc w:val="both"/>
        <w:rPr>
          <w:sz w:val="24"/>
          <w:szCs w:val="24"/>
        </w:rPr>
      </w:pPr>
      <w:r w:rsidRPr="002404D0">
        <w:rPr>
          <w:sz w:val="24"/>
          <w:szCs w:val="24"/>
        </w:rPr>
        <w:t xml:space="preserve">Exprimé en dollars américains, le stock de la dette extérieure à fin </w:t>
      </w:r>
      <w:r>
        <w:rPr>
          <w:sz w:val="24"/>
          <w:szCs w:val="24"/>
        </w:rPr>
        <w:t xml:space="preserve">août </w:t>
      </w:r>
      <w:r w:rsidRPr="002404D0">
        <w:rPr>
          <w:sz w:val="24"/>
          <w:szCs w:val="24"/>
        </w:rPr>
        <w:t>20</w:t>
      </w:r>
      <w:r>
        <w:rPr>
          <w:sz w:val="24"/>
          <w:szCs w:val="24"/>
        </w:rPr>
        <w:t>13</w:t>
      </w:r>
      <w:r w:rsidRPr="002404D0">
        <w:rPr>
          <w:sz w:val="24"/>
          <w:szCs w:val="24"/>
        </w:rPr>
        <w:t xml:space="preserve"> a </w:t>
      </w:r>
      <w:r>
        <w:rPr>
          <w:sz w:val="24"/>
          <w:szCs w:val="24"/>
        </w:rPr>
        <w:t>augmenté</w:t>
      </w:r>
      <w:r w:rsidRPr="002404D0">
        <w:rPr>
          <w:sz w:val="24"/>
          <w:szCs w:val="24"/>
        </w:rPr>
        <w:t xml:space="preserve"> de </w:t>
      </w:r>
      <w:r>
        <w:rPr>
          <w:sz w:val="24"/>
          <w:szCs w:val="24"/>
        </w:rPr>
        <w:t>52,6</w:t>
      </w:r>
      <w:r w:rsidRPr="002404D0">
        <w:rPr>
          <w:sz w:val="24"/>
          <w:szCs w:val="24"/>
        </w:rPr>
        <w:t xml:space="preserve"> MUSD, </w:t>
      </w:r>
      <w:r>
        <w:rPr>
          <w:sz w:val="24"/>
          <w:szCs w:val="24"/>
        </w:rPr>
        <w:t>se fixant à 396,6</w:t>
      </w:r>
      <w:r w:rsidRPr="002404D0">
        <w:rPr>
          <w:sz w:val="24"/>
          <w:szCs w:val="24"/>
        </w:rPr>
        <w:t xml:space="preserve"> </w:t>
      </w:r>
      <w:r>
        <w:rPr>
          <w:sz w:val="24"/>
          <w:szCs w:val="24"/>
        </w:rPr>
        <w:t>contre</w:t>
      </w:r>
      <w:r w:rsidRPr="002404D0">
        <w:rPr>
          <w:sz w:val="24"/>
          <w:szCs w:val="24"/>
        </w:rPr>
        <w:t xml:space="preserve"> </w:t>
      </w:r>
      <w:r>
        <w:rPr>
          <w:sz w:val="24"/>
          <w:szCs w:val="24"/>
        </w:rPr>
        <w:t>366</w:t>
      </w:r>
      <w:r w:rsidRPr="002404D0">
        <w:rPr>
          <w:sz w:val="24"/>
          <w:szCs w:val="24"/>
        </w:rPr>
        <w:t>,</w:t>
      </w:r>
      <w:r>
        <w:rPr>
          <w:sz w:val="24"/>
          <w:szCs w:val="24"/>
        </w:rPr>
        <w:t>8</w:t>
      </w:r>
      <w:r w:rsidRPr="002404D0">
        <w:rPr>
          <w:sz w:val="24"/>
          <w:szCs w:val="24"/>
        </w:rPr>
        <w:t xml:space="preserve"> MUSD à</w:t>
      </w:r>
      <w:r>
        <w:rPr>
          <w:sz w:val="24"/>
          <w:szCs w:val="24"/>
        </w:rPr>
        <w:t xml:space="preserve"> la fin de</w:t>
      </w:r>
      <w:r w:rsidRPr="002404D0">
        <w:rPr>
          <w:sz w:val="24"/>
          <w:szCs w:val="24"/>
        </w:rPr>
        <w:t xml:space="preserve"> la période</w:t>
      </w:r>
      <w:r>
        <w:rPr>
          <w:sz w:val="24"/>
          <w:szCs w:val="24"/>
        </w:rPr>
        <w:t xml:space="preserve"> correspondante</w:t>
      </w:r>
      <w:r w:rsidRPr="002404D0">
        <w:rPr>
          <w:sz w:val="24"/>
          <w:szCs w:val="24"/>
        </w:rPr>
        <w:t xml:space="preserve"> de l’année précédente.</w:t>
      </w:r>
      <w:bookmarkStart w:id="49" w:name="_Toc370721312"/>
      <w:bookmarkStart w:id="50" w:name="_Toc370721654"/>
    </w:p>
    <w:p w:rsidR="00DF4566" w:rsidRDefault="00DF4566" w:rsidP="00DF4566">
      <w:pPr>
        <w:spacing w:after="120"/>
        <w:jc w:val="both"/>
        <w:rPr>
          <w:rFonts w:ascii="Calibri" w:eastAsia="Calibri" w:hAnsi="Calibri" w:cs="Times New Roman"/>
          <w:color w:val="00B0F0"/>
          <w:sz w:val="24"/>
        </w:rPr>
      </w:pPr>
    </w:p>
    <w:p w:rsidR="00DF4566" w:rsidRDefault="00DF4566" w:rsidP="00DF4566">
      <w:pPr>
        <w:spacing w:after="120"/>
        <w:jc w:val="both"/>
        <w:rPr>
          <w:rFonts w:ascii="Calibri" w:eastAsia="Calibri" w:hAnsi="Calibri" w:cs="Times New Roman"/>
          <w:color w:val="00B0F0"/>
          <w:sz w:val="24"/>
        </w:rPr>
      </w:pPr>
    </w:p>
    <w:p w:rsidR="00DF4566" w:rsidRDefault="00DF4566" w:rsidP="00DF4566">
      <w:pPr>
        <w:spacing w:after="120"/>
        <w:jc w:val="both"/>
        <w:rPr>
          <w:rFonts w:ascii="Calibri" w:eastAsia="Calibri" w:hAnsi="Calibri" w:cs="Times New Roman"/>
          <w:color w:val="00B0F0"/>
          <w:sz w:val="24"/>
        </w:rPr>
      </w:pPr>
    </w:p>
    <w:p w:rsidR="00DF4566" w:rsidRPr="00DF4566" w:rsidRDefault="00E15218" w:rsidP="00DF4566">
      <w:pPr>
        <w:spacing w:after="120"/>
        <w:jc w:val="both"/>
        <w:rPr>
          <w:rFonts w:ascii="Calibri" w:eastAsia="Calibri" w:hAnsi="Calibri" w:cs="Times New Roman"/>
          <w:b/>
          <w:color w:val="00B0F0"/>
          <w:sz w:val="24"/>
        </w:rPr>
      </w:pPr>
      <w:r w:rsidRPr="00DF4566">
        <w:rPr>
          <w:rFonts w:ascii="Calibri" w:eastAsia="Calibri" w:hAnsi="Calibri" w:cs="Times New Roman"/>
          <w:b/>
          <w:color w:val="00B0F0"/>
          <w:sz w:val="24"/>
        </w:rPr>
        <w:lastRenderedPageBreak/>
        <w:t>V. BASE MONETAIRE, MASSE MONETAIRE ET SES CONTREPARTIES</w:t>
      </w:r>
      <w:bookmarkStart w:id="51" w:name="_Toc370461792"/>
      <w:bookmarkStart w:id="52" w:name="_Toc370461993"/>
      <w:bookmarkStart w:id="53" w:name="_Toc370462086"/>
      <w:bookmarkStart w:id="54" w:name="_Toc370719675"/>
      <w:bookmarkStart w:id="55" w:name="_Toc370721313"/>
      <w:bookmarkStart w:id="56" w:name="_Toc370721655"/>
      <w:bookmarkEnd w:id="38"/>
      <w:bookmarkEnd w:id="39"/>
      <w:bookmarkEnd w:id="40"/>
      <w:bookmarkEnd w:id="41"/>
      <w:bookmarkEnd w:id="49"/>
      <w:bookmarkEnd w:id="50"/>
    </w:p>
    <w:p w:rsidR="00E15218" w:rsidRPr="00DF4566" w:rsidRDefault="00E15218" w:rsidP="00DF4566">
      <w:pPr>
        <w:spacing w:after="120"/>
        <w:jc w:val="both"/>
        <w:rPr>
          <w:rFonts w:ascii="Calibri" w:eastAsia="Calibri" w:hAnsi="Calibri" w:cs="Times New Roman"/>
          <w:b/>
          <w:color w:val="00B0F0"/>
          <w:sz w:val="24"/>
        </w:rPr>
      </w:pPr>
      <w:r w:rsidRPr="00DF4566">
        <w:rPr>
          <w:rFonts w:ascii="Calibri" w:eastAsia="Calibri" w:hAnsi="Calibri" w:cs="Times New Roman"/>
          <w:b/>
          <w:color w:val="00B0F0"/>
          <w:sz w:val="24"/>
        </w:rPr>
        <w:t>Base monétaire</w:t>
      </w:r>
      <w:bookmarkEnd w:id="51"/>
      <w:bookmarkEnd w:id="52"/>
      <w:bookmarkEnd w:id="53"/>
      <w:bookmarkEnd w:id="54"/>
      <w:bookmarkEnd w:id="55"/>
      <w:bookmarkEnd w:id="56"/>
    </w:p>
    <w:p w:rsidR="00E15218" w:rsidRDefault="00E15218" w:rsidP="00E15218">
      <w:pPr>
        <w:pStyle w:val="Retraitcorpsdetexte3"/>
        <w:spacing w:after="120"/>
        <w:ind w:firstLine="0"/>
        <w:rPr>
          <w:color w:val="auto"/>
          <w:sz w:val="24"/>
          <w:szCs w:val="24"/>
        </w:rPr>
      </w:pPr>
      <w:r w:rsidRPr="00DD752E">
        <w:rPr>
          <w:color w:val="auto"/>
          <w:sz w:val="24"/>
          <w:szCs w:val="24"/>
        </w:rPr>
        <w:t xml:space="preserve">En glissement sur douze mois, la base monétaire s’est accrue de 58.169,9 MBIF, soit 25,4 p.c., passant de 228.732,1 à 286.902,0 MBIF. Cette augmentation a </w:t>
      </w:r>
      <w:r>
        <w:rPr>
          <w:color w:val="auto"/>
          <w:sz w:val="24"/>
          <w:szCs w:val="24"/>
        </w:rPr>
        <w:t>concerné</w:t>
      </w:r>
      <w:r w:rsidRPr="00DD752E">
        <w:rPr>
          <w:color w:val="auto"/>
          <w:sz w:val="24"/>
          <w:szCs w:val="24"/>
        </w:rPr>
        <w:t xml:space="preserve"> la hausse de l’ensemble de ses composantes </w:t>
      </w:r>
      <w:r>
        <w:rPr>
          <w:color w:val="auto"/>
          <w:sz w:val="24"/>
          <w:szCs w:val="24"/>
        </w:rPr>
        <w:t>que sont l</w:t>
      </w:r>
      <w:r w:rsidRPr="00DD752E">
        <w:rPr>
          <w:color w:val="auto"/>
          <w:sz w:val="24"/>
          <w:szCs w:val="24"/>
        </w:rPr>
        <w:t xml:space="preserve">es dépôts du secteur bancaire (+37.515,4 MBIF), </w:t>
      </w:r>
      <w:r>
        <w:rPr>
          <w:color w:val="auto"/>
          <w:sz w:val="24"/>
          <w:szCs w:val="24"/>
        </w:rPr>
        <w:t>l</w:t>
      </w:r>
      <w:r w:rsidRPr="00DD752E">
        <w:rPr>
          <w:color w:val="auto"/>
          <w:sz w:val="24"/>
          <w:szCs w:val="24"/>
        </w:rPr>
        <w:t xml:space="preserve">es billets et pièces en circulation (+11.931,0 MBIF), </w:t>
      </w:r>
      <w:r>
        <w:rPr>
          <w:color w:val="auto"/>
          <w:sz w:val="24"/>
          <w:szCs w:val="24"/>
        </w:rPr>
        <w:t>l</w:t>
      </w:r>
      <w:r w:rsidRPr="00DD752E">
        <w:rPr>
          <w:color w:val="auto"/>
          <w:sz w:val="24"/>
          <w:szCs w:val="24"/>
        </w:rPr>
        <w:t xml:space="preserve">es avoirs des sociétés à participation publique (+3.774,3 MBIF), des établissements financiers (+1.610,8 MBIF) et </w:t>
      </w:r>
      <w:r>
        <w:rPr>
          <w:color w:val="auto"/>
          <w:sz w:val="24"/>
          <w:szCs w:val="24"/>
        </w:rPr>
        <w:t>l</w:t>
      </w:r>
      <w:r w:rsidRPr="00DD752E">
        <w:rPr>
          <w:color w:val="auto"/>
          <w:sz w:val="24"/>
          <w:szCs w:val="24"/>
        </w:rPr>
        <w:t xml:space="preserve">es dépôts divers (+3.338,4 MBIF).    </w:t>
      </w:r>
    </w:p>
    <w:p w:rsidR="00E15218" w:rsidRPr="00E15218" w:rsidRDefault="00E15218" w:rsidP="001D6376">
      <w:pPr>
        <w:pStyle w:val="Retraitcorpsdetexte3"/>
        <w:spacing w:after="120"/>
        <w:ind w:firstLine="0"/>
        <w:outlineLvl w:val="0"/>
        <w:rPr>
          <w:rFonts w:eastAsia="Calibri" w:cs="Times New Roman"/>
          <w:b/>
          <w:color w:val="00B0F0"/>
          <w:sz w:val="24"/>
        </w:rPr>
      </w:pPr>
      <w:bookmarkStart w:id="57" w:name="_Toc370461793"/>
      <w:bookmarkStart w:id="58" w:name="_Toc370461994"/>
      <w:bookmarkStart w:id="59" w:name="_Toc370462087"/>
      <w:bookmarkStart w:id="60" w:name="_Toc370719676"/>
      <w:bookmarkStart w:id="61" w:name="_Toc370721314"/>
      <w:bookmarkStart w:id="62" w:name="_Toc370721656"/>
      <w:r w:rsidRPr="00E15218">
        <w:rPr>
          <w:rFonts w:eastAsia="Calibri" w:cs="Times New Roman"/>
          <w:b/>
          <w:color w:val="00B0F0"/>
          <w:sz w:val="24"/>
        </w:rPr>
        <w:t>Masse monétaire</w:t>
      </w:r>
      <w:bookmarkEnd w:id="57"/>
      <w:bookmarkEnd w:id="58"/>
      <w:bookmarkEnd w:id="59"/>
      <w:bookmarkEnd w:id="60"/>
      <w:bookmarkEnd w:id="61"/>
      <w:bookmarkEnd w:id="62"/>
    </w:p>
    <w:p w:rsidR="00E15218" w:rsidRPr="00BE135D" w:rsidRDefault="00E15218" w:rsidP="00E15218">
      <w:pPr>
        <w:spacing w:after="120"/>
        <w:jc w:val="both"/>
        <w:rPr>
          <w:rFonts w:ascii="Calibri" w:eastAsia="Calibri" w:hAnsi="Calibri" w:cs="Times New Roman"/>
        </w:rPr>
      </w:pPr>
      <w:r w:rsidRPr="00BE135D">
        <w:rPr>
          <w:rFonts w:ascii="Calibri" w:eastAsia="Calibri" w:hAnsi="Calibri" w:cs="Times New Roman"/>
        </w:rPr>
        <w:t>Comparée à celle de fin août 2012, la masse monétaire (797.975,9 contre 689.025,5 MBIF) a  augmenté de 108.950,4 MBIF, soit 15,8 p.c., en rapport avec l’accroissement des disponibilités monétaires (+71.079,1 MBIF) et de la quasi-monnaie (+37.871,3 MBIF).</w:t>
      </w:r>
    </w:p>
    <w:p w:rsidR="00E15218" w:rsidRPr="00BE135D" w:rsidRDefault="00E15218" w:rsidP="003D78CB">
      <w:pPr>
        <w:pStyle w:val="Retraitcorpsdetexte"/>
        <w:spacing w:after="120"/>
        <w:ind w:firstLine="0"/>
        <w:rPr>
          <w:sz w:val="24"/>
        </w:rPr>
      </w:pPr>
      <w:r w:rsidRPr="00BE135D">
        <w:rPr>
          <w:sz w:val="24"/>
        </w:rPr>
        <w:t xml:space="preserve">La hausse des disponibilités monétaires a concerné à la fois les dépôts à vue (+63.646,1 MBIF) et la circulation fiduciaire hors banques (+7.433,0 MBIF). </w:t>
      </w:r>
    </w:p>
    <w:p w:rsidR="00591D4E" w:rsidRDefault="00E15218" w:rsidP="003D78CB">
      <w:pPr>
        <w:pStyle w:val="Retraitcorpsdetexte"/>
        <w:spacing w:after="120"/>
        <w:ind w:firstLine="0"/>
        <w:rPr>
          <w:sz w:val="24"/>
        </w:rPr>
      </w:pPr>
      <w:r w:rsidRPr="00FD2DC5">
        <w:rPr>
          <w:sz w:val="24"/>
        </w:rPr>
        <w:t xml:space="preserve">La progression des dépôts à vue a porté </w:t>
      </w:r>
    </w:p>
    <w:p w:rsidR="00591D4E" w:rsidRDefault="00591D4E" w:rsidP="003D78CB">
      <w:pPr>
        <w:pStyle w:val="Retraitcorpsdetexte"/>
        <w:spacing w:after="120"/>
        <w:ind w:firstLine="0"/>
        <w:rPr>
          <w:sz w:val="24"/>
        </w:rPr>
      </w:pPr>
    </w:p>
    <w:p w:rsidR="00591D4E" w:rsidRDefault="00591D4E" w:rsidP="003D78CB">
      <w:pPr>
        <w:pStyle w:val="Retraitcorpsdetexte"/>
        <w:spacing w:after="120"/>
        <w:ind w:firstLine="0"/>
        <w:rPr>
          <w:sz w:val="24"/>
        </w:rPr>
      </w:pPr>
    </w:p>
    <w:p w:rsidR="00E15218" w:rsidRPr="00FD2DC5" w:rsidRDefault="00E15218" w:rsidP="003D78CB">
      <w:pPr>
        <w:pStyle w:val="Retraitcorpsdetexte"/>
        <w:spacing w:after="120"/>
        <w:ind w:firstLine="0"/>
        <w:rPr>
          <w:sz w:val="24"/>
        </w:rPr>
      </w:pPr>
      <w:r w:rsidRPr="00FD2DC5">
        <w:rPr>
          <w:sz w:val="24"/>
        </w:rPr>
        <w:t xml:space="preserve">sur les avoirs des particuliers (+21.678,4 MBIF),  des entreprises privées (+14.034,3 MBIF), des sociétés à participation publique (+10.279,5 MBIF), des établissements financiers (+1.542,1 MBIF) et sur les dépôts regroupés dans les « autres comptes » (+16.111,8 MBIF). </w:t>
      </w:r>
    </w:p>
    <w:p w:rsidR="00E15218" w:rsidRDefault="00E15218" w:rsidP="00E15218">
      <w:pPr>
        <w:pStyle w:val="Retraitcorpsdetexte"/>
        <w:spacing w:after="120"/>
        <w:ind w:firstLine="0"/>
        <w:rPr>
          <w:sz w:val="24"/>
        </w:rPr>
      </w:pPr>
      <w:r w:rsidRPr="00FD2DC5">
        <w:rPr>
          <w:sz w:val="24"/>
        </w:rPr>
        <w:t xml:space="preserve">L’augmentation des dépôts à terme et d’épargne a résulté de la hausse des placements des particuliers (+26.132,0 MBIF), des entreprises privées (+1.886,5 MBIF), des sociétés à participation </w:t>
      </w:r>
      <w:r w:rsidRPr="00FD2DC5">
        <w:rPr>
          <w:sz w:val="24"/>
        </w:rPr>
        <w:lastRenderedPageBreak/>
        <w:t xml:space="preserve">publique (594,4 MBIF) ainsi que des dépôts regroupés dans les « autres comptes » (+10.781,9 MBIF). </w:t>
      </w:r>
      <w:bookmarkStart w:id="63" w:name="_Toc370461794"/>
      <w:bookmarkStart w:id="64" w:name="_Toc370461995"/>
      <w:bookmarkStart w:id="65" w:name="_Toc370462088"/>
      <w:bookmarkStart w:id="66" w:name="_Toc370719677"/>
    </w:p>
    <w:p w:rsidR="00E15218" w:rsidRPr="00E15218" w:rsidRDefault="00E15218" w:rsidP="001D6376">
      <w:pPr>
        <w:pStyle w:val="Retraitcorpsdetexte"/>
        <w:spacing w:after="120"/>
        <w:ind w:firstLine="0"/>
        <w:outlineLvl w:val="0"/>
        <w:rPr>
          <w:rFonts w:eastAsia="Calibri" w:cs="Times New Roman"/>
          <w:b/>
          <w:color w:val="00B0F0"/>
          <w:sz w:val="24"/>
        </w:rPr>
      </w:pPr>
      <w:bookmarkStart w:id="67" w:name="_Toc370721315"/>
      <w:bookmarkStart w:id="68" w:name="_Toc370721657"/>
      <w:r w:rsidRPr="00E15218">
        <w:rPr>
          <w:rFonts w:eastAsia="Calibri" w:cs="Times New Roman"/>
          <w:b/>
          <w:color w:val="00B0F0"/>
          <w:sz w:val="24"/>
        </w:rPr>
        <w:t>Contreparties</w:t>
      </w:r>
      <w:bookmarkEnd w:id="63"/>
      <w:bookmarkEnd w:id="64"/>
      <w:bookmarkEnd w:id="65"/>
      <w:bookmarkEnd w:id="66"/>
      <w:bookmarkEnd w:id="67"/>
      <w:bookmarkEnd w:id="68"/>
    </w:p>
    <w:p w:rsidR="00E15218" w:rsidRPr="00901893" w:rsidRDefault="00E15218" w:rsidP="00E15218">
      <w:pPr>
        <w:spacing w:after="120"/>
        <w:jc w:val="both"/>
        <w:rPr>
          <w:rFonts w:ascii="Calibri" w:eastAsia="Calibri" w:hAnsi="Calibri" w:cs="Times New Roman"/>
          <w:sz w:val="24"/>
          <w:szCs w:val="24"/>
        </w:rPr>
      </w:pPr>
      <w:r w:rsidRPr="00901893">
        <w:rPr>
          <w:rFonts w:ascii="Calibri" w:eastAsia="Calibri" w:hAnsi="Calibri" w:cs="Times New Roman"/>
          <w:sz w:val="24"/>
          <w:szCs w:val="24"/>
        </w:rPr>
        <w:t xml:space="preserve">S’établissant à 1.051.241,7 contre 921.638,9 MBIF à fin </w:t>
      </w:r>
      <w:r w:rsidR="003D78CB">
        <w:rPr>
          <w:rFonts w:ascii="Calibri" w:eastAsia="Calibri" w:hAnsi="Calibri" w:cs="Times New Roman"/>
          <w:sz w:val="24"/>
          <w:szCs w:val="24"/>
        </w:rPr>
        <w:t>août</w:t>
      </w:r>
      <w:r w:rsidRPr="00901893">
        <w:rPr>
          <w:rFonts w:ascii="Calibri" w:eastAsia="Calibri" w:hAnsi="Calibri" w:cs="Times New Roman"/>
          <w:sz w:val="24"/>
          <w:szCs w:val="24"/>
        </w:rPr>
        <w:t xml:space="preserve"> 2012, le crédit intérieur s’est  accru de 129.602,8 MBIF, soit 14,1 p.c. en rapport avec l’accroissement des créances nettes sur l’Etat (+94.132,2 MBIF) et des créances sur l’économie (+35.470,6 MBIF).</w:t>
      </w:r>
    </w:p>
    <w:p w:rsidR="00E15218" w:rsidRPr="00901893" w:rsidRDefault="00E15218" w:rsidP="00E15218">
      <w:pPr>
        <w:spacing w:after="120"/>
        <w:jc w:val="both"/>
        <w:rPr>
          <w:rFonts w:ascii="Calibri" w:eastAsia="Calibri" w:hAnsi="Calibri" w:cs="Times New Roman"/>
          <w:sz w:val="24"/>
          <w:szCs w:val="24"/>
        </w:rPr>
      </w:pPr>
      <w:r w:rsidRPr="00901893">
        <w:rPr>
          <w:rFonts w:ascii="Calibri" w:eastAsia="Calibri" w:hAnsi="Calibri" w:cs="Times New Roman"/>
          <w:sz w:val="24"/>
          <w:szCs w:val="24"/>
        </w:rPr>
        <w:t xml:space="preserve">L’expansion de l’endettement net de l’Etat est imputable principalement à la hausse des avances de la Banque Centrale (+85.129,7 MBIF) et de l’encours des Bons et Obligations du Trésor détenus par les banques commerciales (+51.742,5 MBIF), partiellement atténuée par l’augmentation des dépôts du secteur gouvernemental (+47.950,1 MBIF).  </w:t>
      </w:r>
    </w:p>
    <w:p w:rsidR="00E15218" w:rsidRPr="00901893" w:rsidRDefault="00E15218" w:rsidP="00E15218">
      <w:pPr>
        <w:spacing w:after="120"/>
        <w:jc w:val="both"/>
        <w:rPr>
          <w:rFonts w:ascii="Calibri" w:eastAsia="Calibri" w:hAnsi="Calibri" w:cs="Times New Roman"/>
          <w:sz w:val="24"/>
          <w:szCs w:val="24"/>
        </w:rPr>
      </w:pPr>
      <w:r w:rsidRPr="00901893">
        <w:rPr>
          <w:rFonts w:ascii="Calibri" w:eastAsia="Calibri" w:hAnsi="Calibri" w:cs="Times New Roman"/>
          <w:sz w:val="24"/>
          <w:szCs w:val="24"/>
        </w:rPr>
        <w:t xml:space="preserve">La progression des créances sur l’économie a porté principalement sur les crédits de trésorerie (+17.536,6 MBIF) ainsi que les financements à moyen </w:t>
      </w:r>
      <w:r w:rsidR="00DF4566">
        <w:rPr>
          <w:rFonts w:ascii="Calibri" w:eastAsia="Calibri" w:hAnsi="Calibri" w:cs="Times New Roman"/>
          <w:sz w:val="24"/>
          <w:szCs w:val="24"/>
        </w:rPr>
        <w:t xml:space="preserve">terme </w:t>
      </w:r>
      <w:r w:rsidRPr="00901893">
        <w:rPr>
          <w:rFonts w:ascii="Calibri" w:eastAsia="Calibri" w:hAnsi="Calibri" w:cs="Times New Roman"/>
          <w:sz w:val="24"/>
          <w:szCs w:val="24"/>
        </w:rPr>
        <w:t>(+33.382,2 MBIF) et long terme (+2.189,7 MBIF), les concours à l’exportation ayant diminué de 21.670,7 MBIF.</w:t>
      </w:r>
    </w:p>
    <w:p w:rsidR="000E5D72" w:rsidRDefault="00E15218" w:rsidP="000E5D72">
      <w:pPr>
        <w:spacing w:after="120"/>
        <w:jc w:val="both"/>
        <w:rPr>
          <w:rFonts w:ascii="Calibri" w:eastAsia="Calibri" w:hAnsi="Calibri" w:cs="Times New Roman"/>
          <w:sz w:val="24"/>
          <w:szCs w:val="24"/>
        </w:rPr>
      </w:pPr>
      <w:r w:rsidRPr="00901893">
        <w:rPr>
          <w:rFonts w:ascii="Calibri" w:eastAsia="Calibri" w:hAnsi="Calibri" w:cs="Times New Roman"/>
          <w:sz w:val="24"/>
          <w:szCs w:val="24"/>
        </w:rPr>
        <w:t xml:space="preserve">Revenant de 6.978,3 à -1.125,4 MBIF, les avoirs extérieurs nets ont baissé de 8.103,7 MBIF, soit -116,1 p.c. Exprimées en dollars américains, les réserves de change nettes ont également chuté, se fixant à -0,7 contre 4,7 millions de dollars à fin août 2012. </w:t>
      </w:r>
      <w:bookmarkStart w:id="69" w:name="_Toc370461801"/>
      <w:bookmarkStart w:id="70" w:name="_Toc370462002"/>
      <w:bookmarkStart w:id="71" w:name="_Toc370462095"/>
      <w:bookmarkStart w:id="72" w:name="_Toc370719684"/>
      <w:bookmarkStart w:id="73" w:name="_Toc370721316"/>
      <w:bookmarkStart w:id="74" w:name="_Toc370721658"/>
    </w:p>
    <w:p w:rsidR="000E5D72" w:rsidRPr="000E5D72" w:rsidRDefault="009A13E2" w:rsidP="000E5D72">
      <w:pPr>
        <w:spacing w:after="120"/>
        <w:jc w:val="both"/>
        <w:rPr>
          <w:b/>
          <w:color w:val="00B0F0"/>
          <w:sz w:val="24"/>
          <w:szCs w:val="24"/>
          <w:lang w:val="fr-BE"/>
        </w:rPr>
      </w:pPr>
      <w:r w:rsidRPr="000E5D72">
        <w:rPr>
          <w:b/>
          <w:color w:val="00B0F0"/>
          <w:sz w:val="24"/>
          <w:szCs w:val="24"/>
          <w:lang w:val="fr-BE"/>
        </w:rPr>
        <w:t xml:space="preserve">VI. </w:t>
      </w:r>
      <w:r w:rsidR="00E15218" w:rsidRPr="000E5D72">
        <w:rPr>
          <w:b/>
          <w:color w:val="00B0F0"/>
          <w:sz w:val="24"/>
          <w:szCs w:val="24"/>
          <w:lang w:val="fr-BE"/>
        </w:rPr>
        <w:t>COMMERCE EXTÉRIEUR</w:t>
      </w:r>
      <w:bookmarkStart w:id="75" w:name="_Toc370461802"/>
      <w:bookmarkStart w:id="76" w:name="_Toc370462003"/>
      <w:bookmarkStart w:id="77" w:name="_Toc370462096"/>
      <w:bookmarkStart w:id="78" w:name="_Toc370719685"/>
      <w:bookmarkStart w:id="79" w:name="_Toc370721317"/>
      <w:bookmarkStart w:id="80" w:name="_Toc370721659"/>
      <w:bookmarkEnd w:id="69"/>
      <w:bookmarkEnd w:id="70"/>
      <w:bookmarkEnd w:id="71"/>
      <w:bookmarkEnd w:id="72"/>
      <w:bookmarkEnd w:id="73"/>
      <w:bookmarkEnd w:id="74"/>
    </w:p>
    <w:p w:rsidR="00C967C5" w:rsidRPr="00C967C5" w:rsidRDefault="00C967C5" w:rsidP="000E5D72">
      <w:pPr>
        <w:spacing w:after="120"/>
        <w:jc w:val="both"/>
        <w:rPr>
          <w:b/>
          <w:sz w:val="24"/>
          <w:szCs w:val="24"/>
          <w:lang w:val="fr-BE"/>
        </w:rPr>
      </w:pPr>
      <w:r w:rsidRPr="000E5D72">
        <w:rPr>
          <w:b/>
          <w:color w:val="00B0F0"/>
          <w:sz w:val="24"/>
          <w:szCs w:val="24"/>
          <w:lang w:val="fr-BE"/>
        </w:rPr>
        <w:t>Exportations</w:t>
      </w:r>
      <w:bookmarkEnd w:id="75"/>
      <w:bookmarkEnd w:id="76"/>
      <w:bookmarkEnd w:id="77"/>
      <w:bookmarkEnd w:id="78"/>
      <w:bookmarkEnd w:id="79"/>
      <w:bookmarkEnd w:id="80"/>
    </w:p>
    <w:p w:rsidR="007F5560" w:rsidRDefault="009F531C" w:rsidP="00901893">
      <w:pPr>
        <w:spacing w:after="120"/>
        <w:jc w:val="both"/>
        <w:rPr>
          <w:sz w:val="24"/>
          <w:szCs w:val="24"/>
          <w:lang w:val="fr-BE"/>
        </w:rPr>
      </w:pPr>
      <w:r w:rsidRPr="009D3238">
        <w:rPr>
          <w:sz w:val="24"/>
          <w:szCs w:val="24"/>
          <w:lang w:val="fr-BE"/>
        </w:rPr>
        <w:t xml:space="preserve">Les exportations cumulées à fin </w:t>
      </w:r>
      <w:r>
        <w:rPr>
          <w:sz w:val="24"/>
          <w:szCs w:val="24"/>
          <w:lang w:val="fr-BE"/>
        </w:rPr>
        <w:t>Août</w:t>
      </w:r>
      <w:r w:rsidRPr="009D3238">
        <w:rPr>
          <w:sz w:val="24"/>
          <w:szCs w:val="24"/>
          <w:lang w:val="fr-BE"/>
        </w:rPr>
        <w:t xml:space="preserve"> 201</w:t>
      </w:r>
      <w:r>
        <w:rPr>
          <w:sz w:val="24"/>
          <w:szCs w:val="24"/>
          <w:lang w:val="fr-BE"/>
        </w:rPr>
        <w:t>3</w:t>
      </w:r>
      <w:r w:rsidRPr="009D3238">
        <w:rPr>
          <w:sz w:val="24"/>
          <w:szCs w:val="24"/>
          <w:lang w:val="fr-BE"/>
        </w:rPr>
        <w:t xml:space="preserve"> </w:t>
      </w:r>
      <w:r w:rsidR="00F4079B">
        <w:rPr>
          <w:sz w:val="24"/>
          <w:szCs w:val="24"/>
          <w:lang w:val="fr-BE"/>
        </w:rPr>
        <w:t xml:space="preserve">ont accusé une baisse </w:t>
      </w:r>
      <w:r w:rsidR="002E6630">
        <w:rPr>
          <w:sz w:val="24"/>
          <w:szCs w:val="24"/>
          <w:lang w:val="fr-BE"/>
        </w:rPr>
        <w:t>de</w:t>
      </w:r>
      <w:r w:rsidR="00F4079B">
        <w:rPr>
          <w:sz w:val="24"/>
          <w:szCs w:val="24"/>
          <w:lang w:val="fr-BE"/>
        </w:rPr>
        <w:t xml:space="preserve"> </w:t>
      </w:r>
      <w:r w:rsidR="007F5560">
        <w:rPr>
          <w:sz w:val="24"/>
          <w:szCs w:val="24"/>
          <w:lang w:val="fr-BE"/>
        </w:rPr>
        <w:t>23,9</w:t>
      </w:r>
      <w:r w:rsidR="007F5560" w:rsidRPr="009D3238">
        <w:rPr>
          <w:sz w:val="24"/>
          <w:szCs w:val="24"/>
          <w:lang w:val="fr-BE"/>
        </w:rPr>
        <w:t xml:space="preserve"> p.c.</w:t>
      </w:r>
      <w:r w:rsidR="007F5560">
        <w:rPr>
          <w:sz w:val="24"/>
          <w:szCs w:val="24"/>
          <w:lang w:val="fr-BE"/>
        </w:rPr>
        <w:t xml:space="preserve"> (</w:t>
      </w:r>
      <w:r>
        <w:rPr>
          <w:sz w:val="24"/>
          <w:szCs w:val="24"/>
          <w:lang w:val="fr-BE"/>
        </w:rPr>
        <w:t>80.311,7</w:t>
      </w:r>
      <w:r w:rsidRPr="009D3238">
        <w:rPr>
          <w:sz w:val="24"/>
          <w:szCs w:val="24"/>
          <w:lang w:val="fr-BE"/>
        </w:rPr>
        <w:t xml:space="preserve"> contre </w:t>
      </w:r>
      <w:r>
        <w:rPr>
          <w:sz w:val="24"/>
          <w:szCs w:val="24"/>
          <w:lang w:val="fr-BE"/>
        </w:rPr>
        <w:t>105.649,5</w:t>
      </w:r>
      <w:r w:rsidRPr="009D3238">
        <w:rPr>
          <w:sz w:val="24"/>
          <w:szCs w:val="24"/>
          <w:lang w:val="fr-BE"/>
        </w:rPr>
        <w:t xml:space="preserve"> MBIF</w:t>
      </w:r>
      <w:r w:rsidR="007F5560">
        <w:rPr>
          <w:sz w:val="24"/>
          <w:szCs w:val="24"/>
          <w:lang w:val="fr-BE"/>
        </w:rPr>
        <w:t xml:space="preserve">) par </w:t>
      </w:r>
      <w:r w:rsidR="007F5560">
        <w:rPr>
          <w:sz w:val="24"/>
          <w:szCs w:val="24"/>
          <w:lang w:val="fr-BE"/>
        </w:rPr>
        <w:lastRenderedPageBreak/>
        <w:t xml:space="preserve">rapport </w:t>
      </w:r>
      <w:r w:rsidRPr="009D3238">
        <w:rPr>
          <w:sz w:val="24"/>
          <w:szCs w:val="24"/>
          <w:lang w:val="fr-BE"/>
        </w:rPr>
        <w:t>à la même période de l’année précédente</w:t>
      </w:r>
      <w:r w:rsidR="007F5560">
        <w:rPr>
          <w:sz w:val="24"/>
          <w:szCs w:val="24"/>
          <w:lang w:val="fr-BE"/>
        </w:rPr>
        <w:t>.</w:t>
      </w:r>
    </w:p>
    <w:p w:rsidR="009F531C" w:rsidRPr="009D3238" w:rsidRDefault="009F531C" w:rsidP="00901893">
      <w:pPr>
        <w:spacing w:after="120"/>
        <w:jc w:val="both"/>
        <w:rPr>
          <w:sz w:val="24"/>
          <w:szCs w:val="24"/>
          <w:lang w:val="fr-BE"/>
        </w:rPr>
      </w:pPr>
      <w:r w:rsidRPr="009D3238">
        <w:rPr>
          <w:sz w:val="24"/>
          <w:szCs w:val="24"/>
          <w:lang w:val="fr-BE"/>
        </w:rPr>
        <w:t xml:space="preserve">Cette </w:t>
      </w:r>
      <w:r w:rsidR="00814A87">
        <w:rPr>
          <w:sz w:val="24"/>
          <w:szCs w:val="24"/>
          <w:lang w:val="fr-BE"/>
        </w:rPr>
        <w:t>r</w:t>
      </w:r>
      <w:r w:rsidR="00814A87" w:rsidRPr="009D3238">
        <w:rPr>
          <w:sz w:val="24"/>
          <w:szCs w:val="24"/>
          <w:lang w:val="fr-BE"/>
        </w:rPr>
        <w:t>é</w:t>
      </w:r>
      <w:r w:rsidR="00814A87">
        <w:rPr>
          <w:sz w:val="24"/>
          <w:szCs w:val="24"/>
          <w:lang w:val="fr-BE"/>
        </w:rPr>
        <w:t>gre</w:t>
      </w:r>
      <w:r w:rsidR="00814A87" w:rsidRPr="009D3238">
        <w:rPr>
          <w:sz w:val="24"/>
          <w:szCs w:val="24"/>
          <w:lang w:val="fr-BE"/>
        </w:rPr>
        <w:t>ssion</w:t>
      </w:r>
      <w:r w:rsidRPr="009D3238">
        <w:rPr>
          <w:sz w:val="24"/>
          <w:szCs w:val="24"/>
          <w:lang w:val="fr-BE"/>
        </w:rPr>
        <w:t xml:space="preserve"> est </w:t>
      </w:r>
      <w:r w:rsidR="007F5560">
        <w:rPr>
          <w:sz w:val="24"/>
          <w:szCs w:val="24"/>
          <w:lang w:val="fr-BE"/>
        </w:rPr>
        <w:t>essentiellem</w:t>
      </w:r>
      <w:r w:rsidRPr="009D3238">
        <w:rPr>
          <w:sz w:val="24"/>
          <w:szCs w:val="24"/>
          <w:lang w:val="fr-BE"/>
        </w:rPr>
        <w:t xml:space="preserve">ent liée </w:t>
      </w:r>
      <w:r w:rsidR="00C2784C">
        <w:rPr>
          <w:sz w:val="24"/>
          <w:szCs w:val="24"/>
          <w:lang w:val="fr-BE"/>
        </w:rPr>
        <w:t xml:space="preserve">à la chute des </w:t>
      </w:r>
      <w:r w:rsidRPr="009D3238">
        <w:rPr>
          <w:sz w:val="24"/>
          <w:szCs w:val="24"/>
          <w:lang w:val="fr-BE"/>
        </w:rPr>
        <w:t>exportations des peaux brutes (</w:t>
      </w:r>
      <w:r w:rsidR="00C2784C">
        <w:rPr>
          <w:sz w:val="24"/>
          <w:szCs w:val="24"/>
          <w:lang w:val="fr-BE"/>
        </w:rPr>
        <w:t xml:space="preserve">2.386,0 </w:t>
      </w:r>
      <w:r w:rsidRPr="009D3238">
        <w:rPr>
          <w:sz w:val="24"/>
          <w:szCs w:val="24"/>
          <w:lang w:val="fr-BE"/>
        </w:rPr>
        <w:t xml:space="preserve">contre </w:t>
      </w:r>
      <w:r w:rsidR="00C2784C">
        <w:rPr>
          <w:sz w:val="24"/>
          <w:szCs w:val="24"/>
          <w:lang w:val="fr-BE"/>
        </w:rPr>
        <w:t>6.970,4</w:t>
      </w:r>
      <w:r w:rsidR="00DD55A6">
        <w:rPr>
          <w:sz w:val="24"/>
          <w:szCs w:val="24"/>
          <w:lang w:val="fr-BE"/>
        </w:rPr>
        <w:t xml:space="preserve"> MBIF), </w:t>
      </w:r>
      <w:r w:rsidR="00C2784C">
        <w:rPr>
          <w:sz w:val="24"/>
          <w:szCs w:val="24"/>
          <w:lang w:val="fr-BE"/>
        </w:rPr>
        <w:t>du café</w:t>
      </w:r>
      <w:r w:rsidR="00C2784C" w:rsidRPr="009D3238">
        <w:rPr>
          <w:sz w:val="24"/>
          <w:szCs w:val="24"/>
          <w:lang w:val="fr-BE"/>
        </w:rPr>
        <w:t xml:space="preserve"> (</w:t>
      </w:r>
      <w:r w:rsidR="00C2784C">
        <w:rPr>
          <w:sz w:val="24"/>
          <w:szCs w:val="24"/>
          <w:lang w:val="fr-BE"/>
        </w:rPr>
        <w:t>18.681,4</w:t>
      </w:r>
      <w:r w:rsidR="00C2784C" w:rsidRPr="009D3238">
        <w:rPr>
          <w:sz w:val="24"/>
          <w:szCs w:val="24"/>
          <w:lang w:val="fr-BE"/>
        </w:rPr>
        <w:t xml:space="preserve"> contre </w:t>
      </w:r>
      <w:r w:rsidR="00C2784C">
        <w:rPr>
          <w:sz w:val="24"/>
          <w:szCs w:val="24"/>
          <w:lang w:val="fr-BE"/>
        </w:rPr>
        <w:t xml:space="preserve">42.357,5 </w:t>
      </w:r>
      <w:r w:rsidR="00C2784C" w:rsidRPr="009D3238">
        <w:rPr>
          <w:sz w:val="24"/>
          <w:szCs w:val="24"/>
          <w:lang w:val="fr-BE"/>
        </w:rPr>
        <w:t>MBIF)</w:t>
      </w:r>
      <w:r w:rsidR="00F15D36">
        <w:rPr>
          <w:sz w:val="24"/>
          <w:szCs w:val="24"/>
          <w:lang w:val="fr-BE"/>
        </w:rPr>
        <w:t xml:space="preserve"> </w:t>
      </w:r>
      <w:r w:rsidR="00DD55A6">
        <w:rPr>
          <w:sz w:val="24"/>
          <w:szCs w:val="24"/>
          <w:lang w:val="fr-BE"/>
        </w:rPr>
        <w:t xml:space="preserve">et des minerais (8.168,9 contre 18.624,2 MBIF) </w:t>
      </w:r>
      <w:r w:rsidR="007F5560">
        <w:rPr>
          <w:sz w:val="24"/>
          <w:szCs w:val="24"/>
          <w:lang w:val="fr-BE"/>
        </w:rPr>
        <w:t>du</w:t>
      </w:r>
      <w:r w:rsidR="00093332">
        <w:rPr>
          <w:sz w:val="24"/>
          <w:szCs w:val="24"/>
          <w:lang w:val="fr-BE"/>
        </w:rPr>
        <w:t>e</w:t>
      </w:r>
      <w:r w:rsidR="007F5560">
        <w:rPr>
          <w:sz w:val="24"/>
          <w:szCs w:val="24"/>
          <w:lang w:val="fr-BE"/>
        </w:rPr>
        <w:t xml:space="preserve"> à la forte diminution du tonnage exporté d</w:t>
      </w:r>
      <w:r w:rsidR="00DD55A6">
        <w:rPr>
          <w:sz w:val="24"/>
          <w:szCs w:val="24"/>
          <w:lang w:val="fr-BE"/>
        </w:rPr>
        <w:t>u café (4.997 contre 9.315 T),</w:t>
      </w:r>
      <w:r w:rsidR="007F5560">
        <w:rPr>
          <w:sz w:val="24"/>
          <w:szCs w:val="24"/>
          <w:lang w:val="fr-BE"/>
        </w:rPr>
        <w:t xml:space="preserve"> des peaux brutes (1.576 contre 2.475T)</w:t>
      </w:r>
      <w:r w:rsidR="00DD55A6">
        <w:rPr>
          <w:sz w:val="24"/>
          <w:szCs w:val="24"/>
          <w:lang w:val="fr-BE"/>
        </w:rPr>
        <w:t xml:space="preserve"> et des minerais (585 contre 902T)</w:t>
      </w:r>
      <w:r w:rsidR="007F5560">
        <w:rPr>
          <w:sz w:val="24"/>
          <w:szCs w:val="24"/>
          <w:lang w:val="fr-BE"/>
        </w:rPr>
        <w:t>.</w:t>
      </w:r>
    </w:p>
    <w:p w:rsidR="000E5D72" w:rsidRDefault="009F531C" w:rsidP="000E5D72">
      <w:pPr>
        <w:tabs>
          <w:tab w:val="left" w:pos="2268"/>
        </w:tabs>
        <w:spacing w:after="120"/>
        <w:jc w:val="both"/>
        <w:rPr>
          <w:sz w:val="24"/>
          <w:szCs w:val="24"/>
          <w:lang w:val="fr-BE"/>
        </w:rPr>
      </w:pPr>
      <w:r w:rsidRPr="009D3238">
        <w:rPr>
          <w:sz w:val="24"/>
          <w:szCs w:val="24"/>
          <w:lang w:val="fr-BE"/>
        </w:rPr>
        <w:t xml:space="preserve">Comparées à celles du mois précédent, les exportations </w:t>
      </w:r>
      <w:r w:rsidR="00C967C5">
        <w:rPr>
          <w:sz w:val="24"/>
          <w:szCs w:val="24"/>
          <w:lang w:val="fr-BE"/>
        </w:rPr>
        <w:t>ont augmenté tant en valeur (</w:t>
      </w:r>
      <w:r w:rsidR="00C967C5" w:rsidRPr="009D3238">
        <w:rPr>
          <w:sz w:val="24"/>
          <w:szCs w:val="24"/>
          <w:lang w:val="fr-BE"/>
        </w:rPr>
        <w:t>18,8</w:t>
      </w:r>
      <w:r w:rsidR="00C967C5">
        <w:rPr>
          <w:sz w:val="24"/>
          <w:szCs w:val="24"/>
          <w:lang w:val="fr-BE"/>
        </w:rPr>
        <w:t xml:space="preserve"> p.c.) qu’en volume (0</w:t>
      </w:r>
      <w:r w:rsidRPr="009D3238">
        <w:rPr>
          <w:sz w:val="24"/>
          <w:szCs w:val="24"/>
          <w:lang w:val="fr-BE"/>
        </w:rPr>
        <w:t>,</w:t>
      </w:r>
      <w:r w:rsidR="00C967C5">
        <w:rPr>
          <w:sz w:val="24"/>
          <w:szCs w:val="24"/>
          <w:lang w:val="fr-BE"/>
        </w:rPr>
        <w:t>5 p.c.), pass</w:t>
      </w:r>
      <w:r w:rsidRPr="009D3238">
        <w:rPr>
          <w:sz w:val="24"/>
          <w:szCs w:val="24"/>
          <w:lang w:val="fr-BE"/>
        </w:rPr>
        <w:t>ant respectivement de 10.</w:t>
      </w:r>
      <w:r w:rsidR="00C967C5">
        <w:rPr>
          <w:sz w:val="24"/>
          <w:szCs w:val="24"/>
          <w:lang w:val="fr-BE"/>
        </w:rPr>
        <w:t>234</w:t>
      </w:r>
      <w:r w:rsidRPr="009D3238">
        <w:rPr>
          <w:sz w:val="24"/>
          <w:szCs w:val="24"/>
          <w:lang w:val="fr-BE"/>
        </w:rPr>
        <w:t xml:space="preserve">,9 à </w:t>
      </w:r>
      <w:r w:rsidR="00C967C5">
        <w:rPr>
          <w:sz w:val="24"/>
          <w:szCs w:val="24"/>
          <w:lang w:val="fr-BE"/>
        </w:rPr>
        <w:t>12.154,8</w:t>
      </w:r>
      <w:r w:rsidRPr="009D3238">
        <w:rPr>
          <w:sz w:val="24"/>
          <w:szCs w:val="24"/>
          <w:lang w:val="fr-BE"/>
        </w:rPr>
        <w:t xml:space="preserve"> MBIF et de </w:t>
      </w:r>
      <w:r w:rsidR="00C967C5">
        <w:rPr>
          <w:sz w:val="24"/>
          <w:szCs w:val="24"/>
          <w:lang w:val="fr-BE"/>
        </w:rPr>
        <w:t>5.111</w:t>
      </w:r>
      <w:r w:rsidRPr="009D3238">
        <w:rPr>
          <w:sz w:val="24"/>
          <w:szCs w:val="24"/>
          <w:lang w:val="fr-BE"/>
        </w:rPr>
        <w:t xml:space="preserve"> à </w:t>
      </w:r>
      <w:r w:rsidR="00C967C5">
        <w:rPr>
          <w:sz w:val="24"/>
          <w:szCs w:val="24"/>
          <w:lang w:val="fr-BE"/>
        </w:rPr>
        <w:t>5.134</w:t>
      </w:r>
      <w:r w:rsidRPr="009D3238">
        <w:rPr>
          <w:sz w:val="24"/>
          <w:szCs w:val="24"/>
          <w:lang w:val="fr-BE"/>
        </w:rPr>
        <w:t xml:space="preserve"> T.</w:t>
      </w:r>
      <w:bookmarkStart w:id="81" w:name="_Toc370461803"/>
      <w:bookmarkStart w:id="82" w:name="_Toc370462004"/>
      <w:bookmarkStart w:id="83" w:name="_Toc370462097"/>
      <w:bookmarkStart w:id="84" w:name="_Toc370719686"/>
      <w:bookmarkStart w:id="85" w:name="_Toc370721660"/>
    </w:p>
    <w:p w:rsidR="00C967C5" w:rsidRPr="00E15218" w:rsidRDefault="00C967C5" w:rsidP="000E5D72">
      <w:pPr>
        <w:tabs>
          <w:tab w:val="left" w:pos="2268"/>
        </w:tabs>
        <w:spacing w:after="120"/>
        <w:jc w:val="both"/>
        <w:rPr>
          <w:b/>
          <w:color w:val="00B0F0"/>
          <w:sz w:val="24"/>
          <w:szCs w:val="24"/>
          <w:lang w:val="fr-BE"/>
        </w:rPr>
      </w:pPr>
      <w:r w:rsidRPr="00E15218">
        <w:rPr>
          <w:b/>
          <w:color w:val="00B0F0"/>
          <w:sz w:val="24"/>
          <w:szCs w:val="24"/>
          <w:lang w:val="fr-BE"/>
        </w:rPr>
        <w:t>Importations</w:t>
      </w:r>
      <w:bookmarkEnd w:id="81"/>
      <w:bookmarkEnd w:id="82"/>
      <w:bookmarkEnd w:id="83"/>
      <w:bookmarkEnd w:id="84"/>
      <w:bookmarkEnd w:id="85"/>
    </w:p>
    <w:p w:rsidR="00610EE5" w:rsidRDefault="00C967C5" w:rsidP="00901893">
      <w:pPr>
        <w:spacing w:after="120"/>
        <w:jc w:val="both"/>
        <w:rPr>
          <w:sz w:val="24"/>
          <w:szCs w:val="24"/>
          <w:lang w:val="fr-BE"/>
        </w:rPr>
      </w:pPr>
      <w:r w:rsidRPr="00F27F9C">
        <w:rPr>
          <w:sz w:val="24"/>
          <w:szCs w:val="24"/>
          <w:lang w:val="fr-BE"/>
        </w:rPr>
        <w:t xml:space="preserve">Les  mises en consommations </w:t>
      </w:r>
      <w:r w:rsidR="00281831" w:rsidRPr="00F27F9C">
        <w:rPr>
          <w:sz w:val="24"/>
          <w:szCs w:val="24"/>
          <w:lang w:val="fr-BE"/>
        </w:rPr>
        <w:t xml:space="preserve">cumulées à fin Août 2013 </w:t>
      </w:r>
      <w:r w:rsidR="00F27F9C">
        <w:rPr>
          <w:sz w:val="24"/>
          <w:szCs w:val="24"/>
          <w:lang w:val="fr-BE"/>
        </w:rPr>
        <w:t>se sont inscrites en haus</w:t>
      </w:r>
      <w:r w:rsidR="002E719D">
        <w:rPr>
          <w:sz w:val="24"/>
          <w:szCs w:val="24"/>
          <w:lang w:val="fr-BE"/>
        </w:rPr>
        <w:t>se par rapport à fin Août 2012</w:t>
      </w:r>
      <w:r w:rsidR="007F5560">
        <w:rPr>
          <w:sz w:val="24"/>
          <w:szCs w:val="24"/>
          <w:lang w:val="fr-BE"/>
        </w:rPr>
        <w:t>, passant de</w:t>
      </w:r>
      <w:r w:rsidR="002E719D">
        <w:rPr>
          <w:sz w:val="24"/>
          <w:szCs w:val="24"/>
          <w:lang w:val="fr-BE"/>
        </w:rPr>
        <w:t xml:space="preserve"> 701.980,8 à 863.324,0 MBIF et de 446.955 à 487.522 T en volume.</w:t>
      </w:r>
    </w:p>
    <w:p w:rsidR="002E719D" w:rsidRDefault="007F5560" w:rsidP="00901893">
      <w:pPr>
        <w:spacing w:after="0"/>
        <w:jc w:val="both"/>
        <w:rPr>
          <w:sz w:val="24"/>
          <w:szCs w:val="24"/>
          <w:lang w:val="fr-BE"/>
        </w:rPr>
      </w:pPr>
      <w:r>
        <w:rPr>
          <w:rFonts w:ascii="Calibri" w:eastAsia="Calibri" w:hAnsi="Calibri" w:cs="Times New Roman"/>
          <w:sz w:val="24"/>
          <w:szCs w:val="24"/>
          <w:lang w:val="fr-BE"/>
        </w:rPr>
        <w:t>Cette hausse</w:t>
      </w:r>
      <w:r w:rsidR="002E719D" w:rsidRPr="002E719D">
        <w:rPr>
          <w:rFonts w:ascii="Calibri" w:eastAsia="Calibri" w:hAnsi="Calibri" w:cs="Times New Roman"/>
          <w:sz w:val="24"/>
          <w:szCs w:val="24"/>
          <w:lang w:val="fr-BE"/>
        </w:rPr>
        <w:t xml:space="preserve"> s’explique essentiellement par l’accroissement des importations des biens de production (</w:t>
      </w:r>
      <w:r w:rsidR="002E719D">
        <w:rPr>
          <w:sz w:val="24"/>
          <w:szCs w:val="24"/>
          <w:lang w:val="fr-BE"/>
        </w:rPr>
        <w:t>370.402,3</w:t>
      </w:r>
      <w:r w:rsidR="002E719D" w:rsidRPr="002E719D">
        <w:rPr>
          <w:rFonts w:ascii="Calibri" w:eastAsia="Calibri" w:hAnsi="Calibri" w:cs="Times New Roman"/>
          <w:sz w:val="24"/>
          <w:szCs w:val="24"/>
          <w:lang w:val="fr-BE"/>
        </w:rPr>
        <w:t xml:space="preserve"> contre </w:t>
      </w:r>
      <w:r w:rsidR="002E719D">
        <w:rPr>
          <w:sz w:val="24"/>
          <w:szCs w:val="24"/>
          <w:lang w:val="fr-BE"/>
        </w:rPr>
        <w:t>316.408,9</w:t>
      </w:r>
      <w:r w:rsidR="002E719D" w:rsidRPr="002E719D">
        <w:rPr>
          <w:rFonts w:ascii="Calibri" w:eastAsia="Calibri" w:hAnsi="Calibri" w:cs="Times New Roman"/>
          <w:sz w:val="24"/>
          <w:szCs w:val="24"/>
          <w:lang w:val="fr-BE"/>
        </w:rPr>
        <w:t xml:space="preserve"> MBIF), d’équipement (</w:t>
      </w:r>
      <w:r w:rsidR="005141F3">
        <w:rPr>
          <w:sz w:val="24"/>
          <w:szCs w:val="24"/>
          <w:lang w:val="fr-BE"/>
        </w:rPr>
        <w:t>224.764,2</w:t>
      </w:r>
      <w:r w:rsidR="002E719D" w:rsidRPr="002E719D">
        <w:rPr>
          <w:rFonts w:ascii="Calibri" w:eastAsia="Calibri" w:hAnsi="Calibri" w:cs="Times New Roman"/>
          <w:sz w:val="24"/>
          <w:szCs w:val="24"/>
          <w:lang w:val="fr-BE"/>
        </w:rPr>
        <w:t xml:space="preserve"> contre </w:t>
      </w:r>
      <w:r w:rsidR="005141F3">
        <w:rPr>
          <w:sz w:val="24"/>
          <w:szCs w:val="24"/>
          <w:lang w:val="fr-BE"/>
        </w:rPr>
        <w:t>154.432,9</w:t>
      </w:r>
      <w:r w:rsidR="002E719D" w:rsidRPr="002E719D">
        <w:rPr>
          <w:rFonts w:ascii="Calibri" w:eastAsia="Calibri" w:hAnsi="Calibri" w:cs="Times New Roman"/>
          <w:sz w:val="24"/>
          <w:szCs w:val="24"/>
          <w:lang w:val="fr-BE"/>
        </w:rPr>
        <w:t xml:space="preserve"> MBIF) et de consommation (</w:t>
      </w:r>
      <w:r w:rsidR="005141F3">
        <w:rPr>
          <w:sz w:val="24"/>
          <w:szCs w:val="24"/>
          <w:lang w:val="fr-BE"/>
        </w:rPr>
        <w:t>268.157,5</w:t>
      </w:r>
      <w:r w:rsidR="002E719D" w:rsidRPr="002E719D">
        <w:rPr>
          <w:rFonts w:ascii="Calibri" w:eastAsia="Calibri" w:hAnsi="Calibri" w:cs="Times New Roman"/>
          <w:sz w:val="24"/>
          <w:szCs w:val="24"/>
          <w:lang w:val="fr-BE"/>
        </w:rPr>
        <w:t xml:space="preserve"> contre </w:t>
      </w:r>
      <w:r w:rsidR="005141F3">
        <w:rPr>
          <w:sz w:val="24"/>
          <w:szCs w:val="24"/>
          <w:lang w:val="fr-BE"/>
        </w:rPr>
        <w:t>231.139,0</w:t>
      </w:r>
      <w:r w:rsidR="002E719D" w:rsidRPr="002E719D">
        <w:rPr>
          <w:rFonts w:ascii="Calibri" w:eastAsia="Calibri" w:hAnsi="Calibri" w:cs="Times New Roman"/>
          <w:sz w:val="24"/>
          <w:szCs w:val="24"/>
          <w:lang w:val="fr-BE"/>
        </w:rPr>
        <w:t xml:space="preserve"> MBIF).</w:t>
      </w:r>
    </w:p>
    <w:p w:rsidR="008724DB" w:rsidRDefault="008724DB" w:rsidP="00901893">
      <w:pPr>
        <w:spacing w:before="120" w:after="120"/>
        <w:jc w:val="both"/>
        <w:rPr>
          <w:sz w:val="24"/>
          <w:szCs w:val="24"/>
          <w:lang w:val="fr-BE"/>
        </w:rPr>
      </w:pPr>
      <w:r w:rsidRPr="008724DB">
        <w:rPr>
          <w:rFonts w:ascii="Calibri" w:eastAsia="Calibri" w:hAnsi="Calibri" w:cs="Times New Roman"/>
          <w:sz w:val="24"/>
          <w:szCs w:val="24"/>
          <w:lang w:val="fr-BE"/>
        </w:rPr>
        <w:t xml:space="preserve">S’agissant des biens de production, </w:t>
      </w:r>
      <w:r w:rsidR="007F5560">
        <w:rPr>
          <w:rFonts w:ascii="Calibri" w:eastAsia="Calibri" w:hAnsi="Calibri" w:cs="Times New Roman"/>
          <w:sz w:val="24"/>
          <w:szCs w:val="24"/>
          <w:lang w:val="fr-BE"/>
        </w:rPr>
        <w:t>l’augmentation</w:t>
      </w:r>
      <w:r w:rsidRPr="008724DB">
        <w:rPr>
          <w:rFonts w:ascii="Calibri" w:eastAsia="Calibri" w:hAnsi="Calibri" w:cs="Times New Roman"/>
          <w:sz w:val="24"/>
          <w:szCs w:val="24"/>
          <w:lang w:val="fr-BE"/>
        </w:rPr>
        <w:t xml:space="preserve"> a concerné les biens destinés à la métallurgie (</w:t>
      </w:r>
      <w:r>
        <w:rPr>
          <w:sz w:val="24"/>
          <w:szCs w:val="24"/>
          <w:lang w:val="fr-BE"/>
        </w:rPr>
        <w:t>38.677,2</w:t>
      </w:r>
      <w:r w:rsidRPr="008724DB">
        <w:rPr>
          <w:rFonts w:ascii="Calibri" w:eastAsia="Calibri" w:hAnsi="Calibri" w:cs="Times New Roman"/>
          <w:sz w:val="24"/>
          <w:szCs w:val="24"/>
          <w:lang w:val="fr-BE"/>
        </w:rPr>
        <w:t xml:space="preserve"> contre </w:t>
      </w:r>
      <w:r>
        <w:rPr>
          <w:sz w:val="24"/>
          <w:szCs w:val="24"/>
          <w:lang w:val="fr-BE"/>
        </w:rPr>
        <w:t xml:space="preserve">31.895,3 </w:t>
      </w:r>
      <w:r w:rsidRPr="008724DB">
        <w:rPr>
          <w:rFonts w:ascii="Calibri" w:eastAsia="Calibri" w:hAnsi="Calibri" w:cs="Times New Roman"/>
          <w:sz w:val="24"/>
          <w:szCs w:val="24"/>
          <w:lang w:val="fr-BE"/>
        </w:rPr>
        <w:t>MBIF), à l’agriculture et l’élevage (</w:t>
      </w:r>
      <w:r>
        <w:rPr>
          <w:sz w:val="24"/>
          <w:szCs w:val="24"/>
          <w:lang w:val="fr-BE"/>
        </w:rPr>
        <w:t>29.436,6</w:t>
      </w:r>
      <w:r w:rsidRPr="008724DB">
        <w:rPr>
          <w:rFonts w:ascii="Calibri" w:eastAsia="Calibri" w:hAnsi="Calibri" w:cs="Times New Roman"/>
          <w:sz w:val="24"/>
          <w:szCs w:val="24"/>
          <w:lang w:val="fr-BE"/>
        </w:rPr>
        <w:t xml:space="preserve"> contre </w:t>
      </w:r>
      <w:r>
        <w:rPr>
          <w:sz w:val="24"/>
          <w:szCs w:val="24"/>
          <w:lang w:val="fr-BE"/>
        </w:rPr>
        <w:t>18.447,8</w:t>
      </w:r>
      <w:r w:rsidRPr="008724DB">
        <w:rPr>
          <w:rFonts w:ascii="Calibri" w:eastAsia="Calibri" w:hAnsi="Calibri" w:cs="Times New Roman"/>
          <w:sz w:val="24"/>
          <w:szCs w:val="24"/>
          <w:lang w:val="fr-BE"/>
        </w:rPr>
        <w:t xml:space="preserve"> MBIF), à l’alimentation (</w:t>
      </w:r>
      <w:r w:rsidR="000903C7">
        <w:rPr>
          <w:sz w:val="24"/>
          <w:szCs w:val="24"/>
          <w:lang w:val="fr-BE"/>
        </w:rPr>
        <w:t>52.527,2</w:t>
      </w:r>
      <w:r w:rsidRPr="008724DB">
        <w:rPr>
          <w:rFonts w:ascii="Calibri" w:eastAsia="Calibri" w:hAnsi="Calibri" w:cs="Times New Roman"/>
          <w:sz w:val="24"/>
          <w:szCs w:val="24"/>
          <w:lang w:val="fr-BE"/>
        </w:rPr>
        <w:t xml:space="preserve"> contre </w:t>
      </w:r>
      <w:r w:rsidR="000903C7">
        <w:rPr>
          <w:sz w:val="24"/>
          <w:szCs w:val="24"/>
          <w:lang w:val="fr-BE"/>
        </w:rPr>
        <w:t>45.665,4</w:t>
      </w:r>
      <w:r w:rsidRPr="008724DB">
        <w:rPr>
          <w:rFonts w:ascii="Calibri" w:eastAsia="Calibri" w:hAnsi="Calibri" w:cs="Times New Roman"/>
          <w:sz w:val="24"/>
          <w:szCs w:val="24"/>
          <w:lang w:val="fr-BE"/>
        </w:rPr>
        <w:t xml:space="preserve"> MBIF) ainsi que les huiles minérales (</w:t>
      </w:r>
      <w:r w:rsidR="000903C7">
        <w:rPr>
          <w:sz w:val="24"/>
          <w:szCs w:val="24"/>
          <w:lang w:val="fr-BE"/>
        </w:rPr>
        <w:t xml:space="preserve">174.277,1 </w:t>
      </w:r>
      <w:r w:rsidRPr="008724DB">
        <w:rPr>
          <w:rFonts w:ascii="Calibri" w:eastAsia="Calibri" w:hAnsi="Calibri" w:cs="Times New Roman"/>
          <w:sz w:val="24"/>
          <w:szCs w:val="24"/>
          <w:lang w:val="fr-BE"/>
        </w:rPr>
        <w:t xml:space="preserve">contre </w:t>
      </w:r>
      <w:r w:rsidR="000903C7" w:rsidRPr="008724DB">
        <w:rPr>
          <w:rFonts w:ascii="Calibri" w:eastAsia="Calibri" w:hAnsi="Calibri" w:cs="Times New Roman"/>
          <w:sz w:val="24"/>
          <w:szCs w:val="24"/>
          <w:lang w:val="fr-BE"/>
        </w:rPr>
        <w:t xml:space="preserve">130.175,3 </w:t>
      </w:r>
      <w:r w:rsidRPr="008724DB">
        <w:rPr>
          <w:rFonts w:ascii="Calibri" w:eastAsia="Calibri" w:hAnsi="Calibri" w:cs="Times New Roman"/>
          <w:sz w:val="24"/>
          <w:szCs w:val="24"/>
          <w:lang w:val="fr-BE"/>
        </w:rPr>
        <w:t>MBIF).</w:t>
      </w:r>
    </w:p>
    <w:p w:rsidR="00EC77F8" w:rsidRDefault="00EC77F8" w:rsidP="00901893">
      <w:pPr>
        <w:spacing w:after="120"/>
        <w:jc w:val="both"/>
        <w:rPr>
          <w:rFonts w:ascii="Calibri" w:eastAsia="Calibri" w:hAnsi="Calibri" w:cs="Times New Roman"/>
          <w:sz w:val="24"/>
          <w:szCs w:val="24"/>
          <w:lang w:val="fr-BE"/>
        </w:rPr>
      </w:pPr>
      <w:r w:rsidRPr="00EC77F8">
        <w:rPr>
          <w:rFonts w:ascii="Calibri" w:eastAsia="Calibri" w:hAnsi="Calibri" w:cs="Times New Roman"/>
          <w:sz w:val="24"/>
          <w:szCs w:val="24"/>
          <w:lang w:val="fr-BE"/>
        </w:rPr>
        <w:t>L</w:t>
      </w:r>
      <w:r w:rsidR="007F5560">
        <w:rPr>
          <w:rFonts w:ascii="Calibri" w:eastAsia="Calibri" w:hAnsi="Calibri" w:cs="Times New Roman"/>
          <w:sz w:val="24"/>
          <w:szCs w:val="24"/>
          <w:lang w:val="fr-BE"/>
        </w:rPr>
        <w:t>a progression</w:t>
      </w:r>
      <w:r w:rsidRPr="00EC77F8">
        <w:rPr>
          <w:rFonts w:ascii="Calibri" w:eastAsia="Calibri" w:hAnsi="Calibri" w:cs="Times New Roman"/>
          <w:sz w:val="24"/>
          <w:szCs w:val="24"/>
          <w:lang w:val="fr-BE"/>
        </w:rPr>
        <w:t xml:space="preserve"> des biens d’équipement a porté sur les chaudières et engins </w:t>
      </w:r>
      <w:r w:rsidRPr="00EC77F8">
        <w:rPr>
          <w:rFonts w:ascii="Calibri" w:eastAsia="Calibri" w:hAnsi="Calibri" w:cs="Times New Roman"/>
          <w:sz w:val="24"/>
          <w:szCs w:val="24"/>
          <w:lang w:val="fr-BE"/>
        </w:rPr>
        <w:lastRenderedPageBreak/>
        <w:t>mécaniques (</w:t>
      </w:r>
      <w:r w:rsidRPr="00EC77F8">
        <w:rPr>
          <w:sz w:val="24"/>
          <w:szCs w:val="24"/>
          <w:lang w:val="fr-BE"/>
        </w:rPr>
        <w:t xml:space="preserve">88.572,9 </w:t>
      </w:r>
      <w:r w:rsidRPr="00EC77F8">
        <w:rPr>
          <w:rFonts w:ascii="Calibri" w:eastAsia="Calibri" w:hAnsi="Calibri" w:cs="Times New Roman"/>
          <w:sz w:val="24"/>
          <w:szCs w:val="24"/>
          <w:lang w:val="fr-BE"/>
        </w:rPr>
        <w:t>contre 56.327,3 MBIF) et les tracteurs, véhicules et engins pour le transport (</w:t>
      </w:r>
      <w:r w:rsidRPr="00EC77F8">
        <w:rPr>
          <w:sz w:val="24"/>
          <w:szCs w:val="24"/>
          <w:lang w:val="fr-BE"/>
        </w:rPr>
        <w:t xml:space="preserve">86.382,7 </w:t>
      </w:r>
      <w:r w:rsidRPr="00EC77F8">
        <w:rPr>
          <w:rFonts w:ascii="Calibri" w:eastAsia="Calibri" w:hAnsi="Calibri" w:cs="Times New Roman"/>
          <w:sz w:val="24"/>
          <w:szCs w:val="24"/>
          <w:lang w:val="fr-BE"/>
        </w:rPr>
        <w:t>contre 37.146,9 MBIF).</w:t>
      </w:r>
    </w:p>
    <w:p w:rsidR="00EC77F8" w:rsidRPr="00EC77F8" w:rsidRDefault="007F5560" w:rsidP="00E15218">
      <w:pPr>
        <w:spacing w:after="120"/>
        <w:jc w:val="both"/>
        <w:rPr>
          <w:rFonts w:ascii="Calibri" w:eastAsia="Calibri" w:hAnsi="Calibri" w:cs="Times New Roman"/>
          <w:sz w:val="24"/>
          <w:szCs w:val="24"/>
          <w:lang w:val="fr-BE"/>
        </w:rPr>
      </w:pPr>
      <w:r>
        <w:rPr>
          <w:rFonts w:ascii="Calibri" w:eastAsia="Calibri" w:hAnsi="Calibri" w:cs="Times New Roman"/>
          <w:sz w:val="24"/>
          <w:szCs w:val="24"/>
          <w:lang w:val="fr-BE"/>
        </w:rPr>
        <w:t xml:space="preserve">Enfin, </w:t>
      </w:r>
      <w:r w:rsidR="00FD108D">
        <w:rPr>
          <w:rFonts w:ascii="Calibri" w:eastAsia="Calibri" w:hAnsi="Calibri" w:cs="Times New Roman"/>
          <w:sz w:val="24"/>
          <w:szCs w:val="24"/>
          <w:lang w:val="fr-BE"/>
        </w:rPr>
        <w:t xml:space="preserve">l’accroissement des biens de consommation </w:t>
      </w:r>
      <w:r>
        <w:rPr>
          <w:rFonts w:ascii="Calibri" w:eastAsia="Calibri" w:hAnsi="Calibri" w:cs="Times New Roman"/>
          <w:sz w:val="24"/>
          <w:szCs w:val="24"/>
          <w:lang w:val="fr-BE"/>
        </w:rPr>
        <w:t xml:space="preserve">est en rapport avec les importations des </w:t>
      </w:r>
      <w:r w:rsidR="00FD108D">
        <w:rPr>
          <w:rFonts w:ascii="Calibri" w:eastAsia="Calibri" w:hAnsi="Calibri" w:cs="Times New Roman"/>
          <w:sz w:val="24"/>
          <w:szCs w:val="24"/>
          <w:lang w:val="fr-BE"/>
        </w:rPr>
        <w:t>biens de consommations durables</w:t>
      </w:r>
      <w:r>
        <w:rPr>
          <w:rFonts w:ascii="Calibri" w:eastAsia="Calibri" w:hAnsi="Calibri" w:cs="Times New Roman"/>
          <w:sz w:val="24"/>
          <w:szCs w:val="24"/>
          <w:lang w:val="fr-BE"/>
        </w:rPr>
        <w:t>,</w:t>
      </w:r>
      <w:r w:rsidR="00FD108D">
        <w:rPr>
          <w:rFonts w:ascii="Calibri" w:eastAsia="Calibri" w:hAnsi="Calibri" w:cs="Times New Roman"/>
          <w:sz w:val="24"/>
          <w:szCs w:val="24"/>
          <w:lang w:val="fr-BE"/>
        </w:rPr>
        <w:t xml:space="preserve"> notamment </w:t>
      </w:r>
      <w:r>
        <w:rPr>
          <w:rFonts w:ascii="Calibri" w:eastAsia="Calibri" w:hAnsi="Calibri" w:cs="Times New Roman"/>
          <w:sz w:val="24"/>
          <w:szCs w:val="24"/>
          <w:lang w:val="fr-BE"/>
        </w:rPr>
        <w:t>les</w:t>
      </w:r>
      <w:r w:rsidR="00FD108D">
        <w:rPr>
          <w:rFonts w:ascii="Calibri" w:eastAsia="Calibri" w:hAnsi="Calibri" w:cs="Times New Roman"/>
          <w:sz w:val="24"/>
          <w:szCs w:val="24"/>
          <w:lang w:val="fr-BE"/>
        </w:rPr>
        <w:t xml:space="preserve"> textiles (32.140,6 contre 25.721,3 MBIF)</w:t>
      </w:r>
      <w:r w:rsidR="00DE7288">
        <w:rPr>
          <w:rFonts w:ascii="Calibri" w:eastAsia="Calibri" w:hAnsi="Calibri" w:cs="Times New Roman"/>
          <w:sz w:val="24"/>
          <w:szCs w:val="24"/>
          <w:lang w:val="fr-BE"/>
        </w:rPr>
        <w:t xml:space="preserve"> et</w:t>
      </w:r>
      <w:r w:rsidR="00FD108D">
        <w:rPr>
          <w:rFonts w:ascii="Calibri" w:eastAsia="Calibri" w:hAnsi="Calibri" w:cs="Times New Roman"/>
          <w:sz w:val="24"/>
          <w:szCs w:val="24"/>
          <w:lang w:val="fr-BE"/>
        </w:rPr>
        <w:t xml:space="preserve"> les biens de consommation non durables</w:t>
      </w:r>
      <w:r w:rsidR="00DE7288">
        <w:rPr>
          <w:rFonts w:ascii="Calibri" w:eastAsia="Calibri" w:hAnsi="Calibri" w:cs="Times New Roman"/>
          <w:sz w:val="24"/>
          <w:szCs w:val="24"/>
          <w:lang w:val="fr-BE"/>
        </w:rPr>
        <w:t>, surtout</w:t>
      </w:r>
      <w:r w:rsidR="00FD108D">
        <w:rPr>
          <w:rFonts w:ascii="Calibri" w:eastAsia="Calibri" w:hAnsi="Calibri" w:cs="Times New Roman"/>
          <w:sz w:val="24"/>
          <w:szCs w:val="24"/>
          <w:lang w:val="fr-BE"/>
        </w:rPr>
        <w:t xml:space="preserve"> les produits alimentaires (98.727,5 contre 50.332,3 MBIF). </w:t>
      </w:r>
    </w:p>
    <w:p w:rsidR="000E5D72" w:rsidRDefault="00FD108D" w:rsidP="000E5D72">
      <w:pPr>
        <w:spacing w:after="120"/>
        <w:jc w:val="both"/>
        <w:rPr>
          <w:rFonts w:ascii="Calibri" w:eastAsia="Calibri" w:hAnsi="Calibri" w:cs="Times New Roman"/>
          <w:sz w:val="24"/>
          <w:szCs w:val="24"/>
        </w:rPr>
      </w:pPr>
      <w:r>
        <w:rPr>
          <w:rFonts w:ascii="Calibri" w:eastAsia="Calibri" w:hAnsi="Calibri" w:cs="Times New Roman"/>
          <w:sz w:val="24"/>
          <w:szCs w:val="24"/>
        </w:rPr>
        <w:t xml:space="preserve">Les </w:t>
      </w:r>
      <w:r w:rsidR="004945A1">
        <w:rPr>
          <w:rFonts w:ascii="Calibri" w:eastAsia="Calibri" w:hAnsi="Calibri" w:cs="Times New Roman"/>
          <w:sz w:val="24"/>
          <w:szCs w:val="24"/>
        </w:rPr>
        <w:t>mises en consommations</w:t>
      </w:r>
      <w:r>
        <w:rPr>
          <w:rFonts w:ascii="Calibri" w:eastAsia="Calibri" w:hAnsi="Calibri" w:cs="Times New Roman"/>
          <w:sz w:val="24"/>
          <w:szCs w:val="24"/>
        </w:rPr>
        <w:t xml:space="preserve"> du mois d’</w:t>
      </w:r>
      <w:r w:rsidR="00C62EB4">
        <w:rPr>
          <w:rFonts w:ascii="Calibri" w:eastAsia="Calibri" w:hAnsi="Calibri" w:cs="Times New Roman"/>
          <w:sz w:val="24"/>
          <w:szCs w:val="24"/>
        </w:rPr>
        <w:t>A</w:t>
      </w:r>
      <w:r>
        <w:rPr>
          <w:rFonts w:ascii="Calibri" w:eastAsia="Calibri" w:hAnsi="Calibri" w:cs="Times New Roman"/>
          <w:sz w:val="24"/>
          <w:szCs w:val="24"/>
        </w:rPr>
        <w:t>o</w:t>
      </w:r>
      <w:r w:rsidR="00C62EB4">
        <w:rPr>
          <w:rFonts w:ascii="Calibri" w:eastAsia="Calibri" w:hAnsi="Calibri" w:cs="Times New Roman"/>
          <w:sz w:val="24"/>
          <w:szCs w:val="24"/>
        </w:rPr>
        <w:t>û</w:t>
      </w:r>
      <w:r>
        <w:rPr>
          <w:rFonts w:ascii="Calibri" w:eastAsia="Calibri" w:hAnsi="Calibri" w:cs="Times New Roman"/>
          <w:sz w:val="24"/>
          <w:szCs w:val="24"/>
        </w:rPr>
        <w:t>t 2013 dépassent éga</w:t>
      </w:r>
      <w:r w:rsidR="00C62EB4">
        <w:rPr>
          <w:rFonts w:ascii="Calibri" w:eastAsia="Calibri" w:hAnsi="Calibri" w:cs="Times New Roman"/>
          <w:sz w:val="24"/>
          <w:szCs w:val="24"/>
        </w:rPr>
        <w:t>lement celles du mois précédent tant en volume (+19 p.c.) qu’en valeur (+28 p.c.).</w:t>
      </w:r>
      <w:bookmarkStart w:id="86" w:name="_Toc370461804"/>
      <w:bookmarkStart w:id="87" w:name="_Toc370462005"/>
      <w:bookmarkStart w:id="88" w:name="_Toc370462098"/>
      <w:bookmarkStart w:id="89" w:name="_Toc370719687"/>
      <w:bookmarkStart w:id="90" w:name="_Toc370721661"/>
    </w:p>
    <w:p w:rsidR="00C62EB4" w:rsidRPr="003D78CB" w:rsidRDefault="009A13E2" w:rsidP="000E5D72">
      <w:pPr>
        <w:spacing w:after="120"/>
        <w:jc w:val="both"/>
        <w:rPr>
          <w:rFonts w:ascii="Calibri" w:eastAsia="Calibri" w:hAnsi="Calibri" w:cs="Times New Roman"/>
          <w:b/>
          <w:color w:val="00B0F0"/>
          <w:sz w:val="24"/>
          <w:szCs w:val="24"/>
        </w:rPr>
      </w:pPr>
      <w:r w:rsidRPr="003D78CB">
        <w:rPr>
          <w:rFonts w:ascii="Calibri" w:eastAsia="Calibri" w:hAnsi="Calibri" w:cs="Times New Roman"/>
          <w:b/>
          <w:color w:val="00B0F0"/>
          <w:sz w:val="24"/>
          <w:szCs w:val="24"/>
        </w:rPr>
        <w:t xml:space="preserve">VII. </w:t>
      </w:r>
      <w:r w:rsidR="00E15218" w:rsidRPr="003D78CB">
        <w:rPr>
          <w:rFonts w:ascii="Calibri" w:eastAsia="Calibri" w:hAnsi="Calibri" w:cs="Times New Roman"/>
          <w:b/>
          <w:color w:val="00B0F0"/>
          <w:sz w:val="24"/>
          <w:szCs w:val="24"/>
        </w:rPr>
        <w:t>TAUX DE CHANGE</w:t>
      </w:r>
      <w:bookmarkEnd w:id="86"/>
      <w:bookmarkEnd w:id="87"/>
      <w:bookmarkEnd w:id="88"/>
      <w:bookmarkEnd w:id="89"/>
      <w:bookmarkEnd w:id="90"/>
      <w:r w:rsidR="00E15218" w:rsidRPr="003D78CB">
        <w:rPr>
          <w:rFonts w:ascii="Calibri" w:eastAsia="Calibri" w:hAnsi="Calibri" w:cs="Times New Roman"/>
          <w:b/>
          <w:color w:val="00B0F0"/>
          <w:sz w:val="24"/>
          <w:szCs w:val="24"/>
        </w:rPr>
        <w:t xml:space="preserve"> </w:t>
      </w:r>
    </w:p>
    <w:p w:rsidR="005141F3" w:rsidRDefault="004945A1" w:rsidP="00901893">
      <w:pPr>
        <w:spacing w:after="120"/>
        <w:jc w:val="both"/>
        <w:rPr>
          <w:rFonts w:ascii="Calibri" w:eastAsia="Calibri" w:hAnsi="Calibri" w:cs="Times New Roman"/>
          <w:sz w:val="24"/>
          <w:szCs w:val="24"/>
        </w:rPr>
      </w:pPr>
      <w:r>
        <w:rPr>
          <w:rFonts w:ascii="Calibri" w:eastAsia="Calibri" w:hAnsi="Calibri" w:cs="Times New Roman"/>
          <w:sz w:val="24"/>
          <w:szCs w:val="24"/>
        </w:rPr>
        <w:t xml:space="preserve">Par rapport à la devise américaine, </w:t>
      </w:r>
      <w:r w:rsidR="00DF4566">
        <w:rPr>
          <w:rFonts w:ascii="Calibri" w:eastAsia="Calibri" w:hAnsi="Calibri" w:cs="Times New Roman"/>
          <w:sz w:val="24"/>
          <w:szCs w:val="24"/>
        </w:rPr>
        <w:t xml:space="preserve">le </w:t>
      </w:r>
      <w:r>
        <w:rPr>
          <w:rFonts w:ascii="Calibri" w:eastAsia="Calibri" w:hAnsi="Calibri" w:cs="Times New Roman"/>
          <w:sz w:val="24"/>
          <w:szCs w:val="24"/>
        </w:rPr>
        <w:t xml:space="preserve"> franc Burundi </w:t>
      </w:r>
      <w:r w:rsidR="00DF4566">
        <w:rPr>
          <w:rFonts w:ascii="Calibri" w:eastAsia="Calibri" w:hAnsi="Calibri" w:cs="Times New Roman"/>
          <w:sz w:val="24"/>
          <w:szCs w:val="24"/>
        </w:rPr>
        <w:t xml:space="preserve">s’est déprécié de </w:t>
      </w:r>
      <w:r>
        <w:rPr>
          <w:rFonts w:ascii="Calibri" w:eastAsia="Calibri" w:hAnsi="Calibri" w:cs="Times New Roman"/>
          <w:sz w:val="24"/>
          <w:szCs w:val="24"/>
        </w:rPr>
        <w:t>4,9 p.c.</w:t>
      </w:r>
      <w:r w:rsidR="00DF4566">
        <w:rPr>
          <w:rFonts w:ascii="Calibri" w:eastAsia="Calibri" w:hAnsi="Calibri" w:cs="Times New Roman"/>
          <w:sz w:val="24"/>
          <w:szCs w:val="24"/>
        </w:rPr>
        <w:t xml:space="preserve"> au mois d’août 2013</w:t>
      </w:r>
      <w:r>
        <w:rPr>
          <w:rFonts w:ascii="Calibri" w:eastAsia="Calibri" w:hAnsi="Calibri" w:cs="Times New Roman"/>
          <w:sz w:val="24"/>
          <w:szCs w:val="24"/>
        </w:rPr>
        <w:t xml:space="preserve"> s’établissant à 1.538,47 contre 1.466,68 </w:t>
      </w:r>
      <w:r w:rsidR="00DF4566">
        <w:rPr>
          <w:rFonts w:ascii="Calibri" w:eastAsia="Calibri" w:hAnsi="Calibri" w:cs="Times New Roman"/>
          <w:sz w:val="24"/>
          <w:szCs w:val="24"/>
        </w:rPr>
        <w:t>au même</w:t>
      </w:r>
      <w:r>
        <w:rPr>
          <w:rFonts w:ascii="Calibri" w:eastAsia="Calibri" w:hAnsi="Calibri" w:cs="Times New Roman"/>
          <w:sz w:val="24"/>
          <w:szCs w:val="24"/>
        </w:rPr>
        <w:t xml:space="preserve"> mois </w:t>
      </w:r>
      <w:r w:rsidR="00DF4566">
        <w:rPr>
          <w:rFonts w:ascii="Calibri" w:eastAsia="Calibri" w:hAnsi="Calibri" w:cs="Times New Roman"/>
          <w:sz w:val="24"/>
          <w:szCs w:val="24"/>
        </w:rPr>
        <w:t>de l’année</w:t>
      </w:r>
      <w:r>
        <w:rPr>
          <w:rFonts w:ascii="Calibri" w:eastAsia="Calibri" w:hAnsi="Calibri" w:cs="Times New Roman"/>
          <w:sz w:val="24"/>
          <w:szCs w:val="24"/>
        </w:rPr>
        <w:t xml:space="preserve"> </w:t>
      </w:r>
      <w:r w:rsidR="00D93EAD">
        <w:rPr>
          <w:rFonts w:ascii="Calibri" w:eastAsia="Calibri" w:hAnsi="Calibri" w:cs="Times New Roman"/>
          <w:sz w:val="24"/>
          <w:szCs w:val="24"/>
        </w:rPr>
        <w:t>précédente</w:t>
      </w:r>
      <w:r>
        <w:rPr>
          <w:rFonts w:ascii="Calibri" w:eastAsia="Calibri" w:hAnsi="Calibri" w:cs="Times New Roman"/>
          <w:sz w:val="24"/>
          <w:szCs w:val="24"/>
        </w:rPr>
        <w:t>.</w:t>
      </w:r>
      <w:r w:rsidR="00B93C86">
        <w:rPr>
          <w:rFonts w:ascii="Calibri" w:eastAsia="Calibri" w:hAnsi="Calibri" w:cs="Times New Roman"/>
          <w:sz w:val="24"/>
          <w:szCs w:val="24"/>
        </w:rPr>
        <w:t xml:space="preserve"> </w:t>
      </w:r>
      <w:r w:rsidR="002F3678">
        <w:rPr>
          <w:rFonts w:ascii="Calibri" w:eastAsia="Calibri" w:hAnsi="Calibri" w:cs="Times New Roman"/>
          <w:sz w:val="24"/>
          <w:szCs w:val="24"/>
        </w:rPr>
        <w:t>De même, l</w:t>
      </w:r>
      <w:r w:rsidR="00B93C86">
        <w:rPr>
          <w:rFonts w:ascii="Calibri" w:eastAsia="Calibri" w:hAnsi="Calibri" w:cs="Times New Roman"/>
          <w:sz w:val="24"/>
          <w:szCs w:val="24"/>
        </w:rPr>
        <w:t xml:space="preserve">e franc </w:t>
      </w:r>
      <w:r w:rsidR="00B27B53">
        <w:rPr>
          <w:rFonts w:ascii="Calibri" w:eastAsia="Calibri" w:hAnsi="Calibri" w:cs="Times New Roman"/>
          <w:sz w:val="24"/>
          <w:szCs w:val="24"/>
        </w:rPr>
        <w:t>Burund</w:t>
      </w:r>
      <w:r w:rsidR="00B93C86">
        <w:rPr>
          <w:rFonts w:ascii="Calibri" w:eastAsia="Calibri" w:hAnsi="Calibri" w:cs="Times New Roman"/>
          <w:sz w:val="24"/>
          <w:szCs w:val="24"/>
        </w:rPr>
        <w:t>i s’est dégradé de 0,</w:t>
      </w:r>
      <w:r w:rsidR="002F3678">
        <w:rPr>
          <w:rFonts w:ascii="Calibri" w:eastAsia="Calibri" w:hAnsi="Calibri" w:cs="Times New Roman"/>
          <w:sz w:val="24"/>
          <w:szCs w:val="24"/>
        </w:rPr>
        <w:t>1</w:t>
      </w:r>
      <w:r w:rsidR="00B93C86">
        <w:rPr>
          <w:rFonts w:ascii="Calibri" w:eastAsia="Calibri" w:hAnsi="Calibri" w:cs="Times New Roman"/>
          <w:sz w:val="24"/>
          <w:szCs w:val="24"/>
        </w:rPr>
        <w:t xml:space="preserve"> p.c. par rapport </w:t>
      </w:r>
      <w:r w:rsidR="002F3678">
        <w:rPr>
          <w:rFonts w:ascii="Calibri" w:eastAsia="Calibri" w:hAnsi="Calibri" w:cs="Times New Roman"/>
          <w:sz w:val="24"/>
          <w:szCs w:val="24"/>
        </w:rPr>
        <w:t xml:space="preserve">au </w:t>
      </w:r>
      <w:r w:rsidR="002F3678">
        <w:rPr>
          <w:rFonts w:ascii="Calibri" w:eastAsia="Calibri" w:hAnsi="Calibri" w:cs="Times New Roman"/>
          <w:sz w:val="24"/>
          <w:szCs w:val="24"/>
        </w:rPr>
        <w:lastRenderedPageBreak/>
        <w:t>mois de juillet 2013</w:t>
      </w:r>
      <w:r w:rsidR="00DE7288">
        <w:rPr>
          <w:rFonts w:ascii="Calibri" w:eastAsia="Calibri" w:hAnsi="Calibri" w:cs="Times New Roman"/>
          <w:sz w:val="24"/>
          <w:szCs w:val="24"/>
        </w:rPr>
        <w:t>,</w:t>
      </w:r>
      <w:r w:rsidR="002F3678">
        <w:rPr>
          <w:rFonts w:ascii="Calibri" w:eastAsia="Calibri" w:hAnsi="Calibri" w:cs="Times New Roman"/>
          <w:sz w:val="24"/>
          <w:szCs w:val="24"/>
        </w:rPr>
        <w:t xml:space="preserve"> se fixant à 1.538,47 contre 1.537,11</w:t>
      </w:r>
      <w:r w:rsidR="00B27B53" w:rsidRPr="00B27B53">
        <w:rPr>
          <w:sz w:val="24"/>
          <w:szCs w:val="24"/>
        </w:rPr>
        <w:t xml:space="preserve"> </w:t>
      </w:r>
      <w:r w:rsidR="00B27B53" w:rsidRPr="00890582">
        <w:rPr>
          <w:sz w:val="24"/>
          <w:szCs w:val="24"/>
        </w:rPr>
        <w:t>BIF/USD.</w:t>
      </w:r>
    </w:p>
    <w:p w:rsidR="00B27B53" w:rsidRPr="00B27B53" w:rsidRDefault="00D93EAD" w:rsidP="003D78CB">
      <w:pPr>
        <w:spacing w:after="120"/>
        <w:jc w:val="both"/>
        <w:rPr>
          <w:rFonts w:ascii="Calibri" w:eastAsia="Calibri" w:hAnsi="Calibri" w:cs="Times New Roman"/>
          <w:sz w:val="24"/>
          <w:szCs w:val="24"/>
        </w:rPr>
      </w:pPr>
      <w:r>
        <w:rPr>
          <w:rFonts w:ascii="Calibri" w:eastAsia="Calibri" w:hAnsi="Calibri" w:cs="Times New Roman"/>
          <w:sz w:val="24"/>
          <w:szCs w:val="24"/>
        </w:rPr>
        <w:t xml:space="preserve">Cette situation s’est </w:t>
      </w:r>
      <w:r w:rsidR="009D6494">
        <w:rPr>
          <w:rFonts w:ascii="Calibri" w:eastAsia="Calibri" w:hAnsi="Calibri" w:cs="Times New Roman"/>
          <w:sz w:val="24"/>
          <w:szCs w:val="24"/>
        </w:rPr>
        <w:t xml:space="preserve">également </w:t>
      </w:r>
      <w:r>
        <w:rPr>
          <w:rFonts w:ascii="Calibri" w:eastAsia="Calibri" w:hAnsi="Calibri" w:cs="Times New Roman"/>
          <w:sz w:val="24"/>
          <w:szCs w:val="24"/>
        </w:rPr>
        <w:t xml:space="preserve">produite pour le taux de change de fin de période </w:t>
      </w:r>
      <w:r w:rsidR="009D6494">
        <w:rPr>
          <w:rFonts w:ascii="Calibri" w:eastAsia="Calibri" w:hAnsi="Calibri" w:cs="Times New Roman"/>
          <w:sz w:val="24"/>
          <w:szCs w:val="24"/>
        </w:rPr>
        <w:t xml:space="preserve">qui s’est </w:t>
      </w:r>
      <w:r>
        <w:rPr>
          <w:rFonts w:ascii="Calibri" w:eastAsia="Calibri" w:hAnsi="Calibri" w:cs="Times New Roman"/>
          <w:sz w:val="24"/>
          <w:szCs w:val="24"/>
        </w:rPr>
        <w:t xml:space="preserve">fixé à 1.539,10 contre 1.473,17 soit une dépréciation </w:t>
      </w:r>
      <w:r w:rsidR="00DF4566">
        <w:rPr>
          <w:rFonts w:ascii="Calibri" w:eastAsia="Calibri" w:hAnsi="Calibri" w:cs="Times New Roman"/>
          <w:sz w:val="24"/>
          <w:szCs w:val="24"/>
        </w:rPr>
        <w:t xml:space="preserve">du franc </w:t>
      </w:r>
      <w:proofErr w:type="spellStart"/>
      <w:r w:rsidR="00DF4566">
        <w:rPr>
          <w:rFonts w:ascii="Calibri" w:eastAsia="Calibri" w:hAnsi="Calibri" w:cs="Times New Roman"/>
          <w:sz w:val="24"/>
          <w:szCs w:val="24"/>
        </w:rPr>
        <w:t>burundi</w:t>
      </w:r>
      <w:proofErr w:type="spellEnd"/>
      <w:r w:rsidR="00DF4566">
        <w:rPr>
          <w:rFonts w:ascii="Calibri" w:eastAsia="Calibri" w:hAnsi="Calibri" w:cs="Times New Roman"/>
          <w:sz w:val="24"/>
          <w:szCs w:val="24"/>
        </w:rPr>
        <w:t xml:space="preserve"> </w:t>
      </w:r>
      <w:r>
        <w:rPr>
          <w:rFonts w:ascii="Calibri" w:eastAsia="Calibri" w:hAnsi="Calibri" w:cs="Times New Roman"/>
          <w:sz w:val="24"/>
          <w:szCs w:val="24"/>
        </w:rPr>
        <w:t>de 4,4 p.c.</w:t>
      </w:r>
      <w:r w:rsidR="00B27B53">
        <w:rPr>
          <w:rFonts w:ascii="Calibri" w:eastAsia="Calibri" w:hAnsi="Calibri" w:cs="Times New Roman"/>
          <w:sz w:val="24"/>
          <w:szCs w:val="24"/>
        </w:rPr>
        <w:t xml:space="preserve"> par rapport à août 2012, </w:t>
      </w:r>
      <w:r w:rsidR="00B27B53" w:rsidRPr="00B27B53">
        <w:rPr>
          <w:rFonts w:ascii="Calibri" w:eastAsia="Calibri" w:hAnsi="Calibri" w:cs="Times New Roman"/>
          <w:sz w:val="24"/>
          <w:szCs w:val="24"/>
        </w:rPr>
        <w:t xml:space="preserve">au moment où il </w:t>
      </w:r>
      <w:r w:rsidR="00DE7288">
        <w:rPr>
          <w:rFonts w:ascii="Calibri" w:eastAsia="Calibri" w:hAnsi="Calibri" w:cs="Times New Roman"/>
          <w:sz w:val="24"/>
          <w:szCs w:val="24"/>
        </w:rPr>
        <w:t>a reculé</w:t>
      </w:r>
      <w:r w:rsidR="00B27B53" w:rsidRPr="00B27B53">
        <w:rPr>
          <w:rFonts w:ascii="Calibri" w:eastAsia="Calibri" w:hAnsi="Calibri" w:cs="Times New Roman"/>
          <w:sz w:val="24"/>
          <w:szCs w:val="24"/>
        </w:rPr>
        <w:t xml:space="preserve"> de 0,</w:t>
      </w:r>
      <w:r w:rsidR="00B27B53">
        <w:rPr>
          <w:rFonts w:ascii="Calibri" w:eastAsia="Calibri" w:hAnsi="Calibri" w:cs="Times New Roman"/>
          <w:sz w:val="24"/>
          <w:szCs w:val="24"/>
        </w:rPr>
        <w:t>1</w:t>
      </w:r>
      <w:r w:rsidR="00B27B53" w:rsidRPr="00B27B53">
        <w:rPr>
          <w:rFonts w:ascii="Calibri" w:eastAsia="Calibri" w:hAnsi="Calibri" w:cs="Times New Roman"/>
          <w:sz w:val="24"/>
          <w:szCs w:val="24"/>
        </w:rPr>
        <w:t xml:space="preserve"> p.c. par rapport à </w:t>
      </w:r>
      <w:r w:rsidR="00B27B53">
        <w:rPr>
          <w:rFonts w:ascii="Calibri" w:eastAsia="Calibri" w:hAnsi="Calibri" w:cs="Times New Roman"/>
          <w:sz w:val="24"/>
          <w:szCs w:val="24"/>
        </w:rPr>
        <w:t>juillet</w:t>
      </w:r>
      <w:r w:rsidR="00B27B53" w:rsidRPr="00B27B53">
        <w:rPr>
          <w:rFonts w:ascii="Calibri" w:eastAsia="Calibri" w:hAnsi="Calibri" w:cs="Times New Roman"/>
          <w:sz w:val="24"/>
          <w:szCs w:val="24"/>
        </w:rPr>
        <w:t xml:space="preserve"> 201</w:t>
      </w:r>
      <w:r w:rsidR="00B27B53">
        <w:rPr>
          <w:rFonts w:ascii="Calibri" w:eastAsia="Calibri" w:hAnsi="Calibri" w:cs="Times New Roman"/>
          <w:sz w:val="24"/>
          <w:szCs w:val="24"/>
        </w:rPr>
        <w:t>3</w:t>
      </w:r>
      <w:r w:rsidR="00B27B53" w:rsidRPr="00B27B53">
        <w:rPr>
          <w:rFonts w:ascii="Calibri" w:eastAsia="Calibri" w:hAnsi="Calibri" w:cs="Times New Roman"/>
          <w:sz w:val="24"/>
          <w:szCs w:val="24"/>
        </w:rPr>
        <w:t>, passant de 1.</w:t>
      </w:r>
      <w:r w:rsidR="00B27B53">
        <w:rPr>
          <w:rFonts w:ascii="Calibri" w:eastAsia="Calibri" w:hAnsi="Calibri" w:cs="Times New Roman"/>
          <w:sz w:val="24"/>
          <w:szCs w:val="24"/>
        </w:rPr>
        <w:t>537,5</w:t>
      </w:r>
      <w:r w:rsidR="00B27B53" w:rsidRPr="00B27B53">
        <w:rPr>
          <w:rFonts w:ascii="Calibri" w:eastAsia="Calibri" w:hAnsi="Calibri" w:cs="Times New Roman"/>
          <w:sz w:val="24"/>
          <w:szCs w:val="24"/>
        </w:rPr>
        <w:t xml:space="preserve"> à 1.</w:t>
      </w:r>
      <w:r w:rsidR="00B27B53">
        <w:rPr>
          <w:rFonts w:ascii="Calibri" w:eastAsia="Calibri" w:hAnsi="Calibri" w:cs="Times New Roman"/>
          <w:sz w:val="24"/>
          <w:szCs w:val="24"/>
        </w:rPr>
        <w:t>539,7</w:t>
      </w:r>
      <w:r w:rsidR="00B27B53" w:rsidRPr="00B27B53">
        <w:rPr>
          <w:rFonts w:ascii="Calibri" w:eastAsia="Calibri" w:hAnsi="Calibri" w:cs="Times New Roman"/>
          <w:sz w:val="24"/>
          <w:szCs w:val="24"/>
        </w:rPr>
        <w:t xml:space="preserve"> BIF.</w:t>
      </w:r>
    </w:p>
    <w:p w:rsidR="00BB55FA" w:rsidRDefault="00DE7288" w:rsidP="00901893">
      <w:pPr>
        <w:spacing w:after="120"/>
        <w:jc w:val="both"/>
        <w:rPr>
          <w:sz w:val="24"/>
          <w:szCs w:val="24"/>
        </w:rPr>
      </w:pPr>
      <w:r>
        <w:rPr>
          <w:rFonts w:ascii="Calibri" w:hAnsi="Calibri" w:cs="Times New Roman"/>
          <w:sz w:val="24"/>
          <w:szCs w:val="24"/>
        </w:rPr>
        <w:t>Le</w:t>
      </w:r>
      <w:r w:rsidR="00BB55FA" w:rsidRPr="00AC6213">
        <w:rPr>
          <w:rFonts w:ascii="Calibri" w:hAnsi="Calibri" w:cs="Times New Roman"/>
          <w:sz w:val="24"/>
          <w:szCs w:val="24"/>
        </w:rPr>
        <w:t xml:space="preserve"> taux de change effectif nominal </w:t>
      </w:r>
      <w:r w:rsidR="00BB55FA">
        <w:rPr>
          <w:rFonts w:ascii="Calibri" w:hAnsi="Calibri" w:cs="Times New Roman"/>
          <w:sz w:val="24"/>
          <w:szCs w:val="24"/>
        </w:rPr>
        <w:t>du mois d’août</w:t>
      </w:r>
      <w:r w:rsidR="00BB55FA">
        <w:rPr>
          <w:sz w:val="24"/>
          <w:szCs w:val="24"/>
        </w:rPr>
        <w:t xml:space="preserve"> 2013 s’est fixé à 62,9 contre 63,2 du mois d’août 2012 soit une diminution de 0,4 p.c.</w:t>
      </w:r>
      <w:r w:rsidR="00BB55FA" w:rsidRPr="00AC6213">
        <w:rPr>
          <w:rFonts w:ascii="Calibri" w:hAnsi="Calibri" w:cs="Times New Roman"/>
          <w:sz w:val="24"/>
          <w:szCs w:val="24"/>
        </w:rPr>
        <w:t xml:space="preserve"> en raison de l</w:t>
      </w:r>
      <w:r w:rsidR="00BB55FA">
        <w:rPr>
          <w:sz w:val="24"/>
          <w:szCs w:val="24"/>
        </w:rPr>
        <w:t>a dépréciation</w:t>
      </w:r>
      <w:r w:rsidR="00BB55FA" w:rsidRPr="00AC6213">
        <w:rPr>
          <w:rFonts w:ascii="Calibri" w:hAnsi="Calibri" w:cs="Times New Roman"/>
          <w:sz w:val="24"/>
          <w:szCs w:val="24"/>
        </w:rPr>
        <w:t xml:space="preserve"> du franc </w:t>
      </w:r>
      <w:r w:rsidR="008820D6" w:rsidRPr="00AC6213">
        <w:rPr>
          <w:rFonts w:ascii="Calibri" w:hAnsi="Calibri" w:cs="Times New Roman"/>
          <w:sz w:val="24"/>
          <w:szCs w:val="24"/>
        </w:rPr>
        <w:t>Burundi</w:t>
      </w:r>
      <w:r w:rsidR="00BB55FA" w:rsidRPr="00AC6213">
        <w:rPr>
          <w:rFonts w:ascii="Calibri" w:hAnsi="Calibri" w:cs="Times New Roman"/>
          <w:sz w:val="24"/>
          <w:szCs w:val="24"/>
        </w:rPr>
        <w:t xml:space="preserve"> vis-à-vis de la </w:t>
      </w:r>
      <w:r w:rsidR="00BB55FA">
        <w:rPr>
          <w:sz w:val="24"/>
          <w:szCs w:val="24"/>
        </w:rPr>
        <w:t>plupart</w:t>
      </w:r>
      <w:r w:rsidR="00BB55FA" w:rsidRPr="00AC6213">
        <w:rPr>
          <w:rFonts w:ascii="Calibri" w:hAnsi="Calibri" w:cs="Times New Roman"/>
          <w:sz w:val="24"/>
          <w:szCs w:val="24"/>
        </w:rPr>
        <w:t xml:space="preserve"> des m</w:t>
      </w:r>
      <w:r w:rsidR="003D78CB">
        <w:rPr>
          <w:rFonts w:ascii="Calibri" w:hAnsi="Calibri" w:cs="Times New Roman"/>
          <w:sz w:val="24"/>
          <w:szCs w:val="24"/>
        </w:rPr>
        <w:t>onnaies des pays partenaires et</w:t>
      </w:r>
      <w:r w:rsidR="00BB55FA" w:rsidRPr="00AC6213">
        <w:rPr>
          <w:rFonts w:ascii="Calibri" w:hAnsi="Calibri" w:cs="Times New Roman"/>
          <w:sz w:val="24"/>
          <w:szCs w:val="24"/>
        </w:rPr>
        <w:t>/ou concurrents commerciaux.</w:t>
      </w:r>
    </w:p>
    <w:p w:rsidR="001E5151" w:rsidRDefault="00DE7288" w:rsidP="00E15218">
      <w:pPr>
        <w:spacing w:after="0"/>
        <w:jc w:val="both"/>
        <w:rPr>
          <w:sz w:val="24"/>
          <w:szCs w:val="24"/>
        </w:rPr>
        <w:sectPr w:rsidR="001E5151" w:rsidSect="00E15218">
          <w:headerReference w:type="first" r:id="rId13"/>
          <w:pgSz w:w="11906" w:h="16838"/>
          <w:pgMar w:top="1417" w:right="1417" w:bottom="1417" w:left="1417" w:header="720" w:footer="720" w:gutter="0"/>
          <w:pgNumType w:start="1"/>
          <w:cols w:num="2" w:space="720"/>
          <w:titlePg/>
          <w:docGrid w:linePitch="360"/>
        </w:sectPr>
      </w:pPr>
      <w:r>
        <w:rPr>
          <w:sz w:val="24"/>
          <w:szCs w:val="24"/>
        </w:rPr>
        <w:t>En revanche</w:t>
      </w:r>
      <w:r w:rsidR="00BB55FA" w:rsidRPr="003D72D0">
        <w:rPr>
          <w:sz w:val="24"/>
          <w:szCs w:val="24"/>
        </w:rPr>
        <w:t xml:space="preserve">, </w:t>
      </w:r>
      <w:r w:rsidR="003D72D0" w:rsidRPr="003D72D0">
        <w:rPr>
          <w:sz w:val="24"/>
          <w:szCs w:val="24"/>
        </w:rPr>
        <w:t>la progression du</w:t>
      </w:r>
      <w:r w:rsidR="00BB55FA" w:rsidRPr="003D72D0">
        <w:rPr>
          <w:sz w:val="24"/>
          <w:szCs w:val="24"/>
        </w:rPr>
        <w:t xml:space="preserve"> </w:t>
      </w:r>
      <w:r w:rsidR="00BB55FA">
        <w:rPr>
          <w:sz w:val="24"/>
          <w:szCs w:val="24"/>
        </w:rPr>
        <w:t>taux de change effectif réel</w:t>
      </w:r>
      <w:r w:rsidR="002D09B5">
        <w:rPr>
          <w:sz w:val="24"/>
          <w:szCs w:val="24"/>
        </w:rPr>
        <w:t xml:space="preserve"> (</w:t>
      </w:r>
      <w:r w:rsidR="009D2180">
        <w:rPr>
          <w:sz w:val="24"/>
          <w:szCs w:val="24"/>
        </w:rPr>
        <w:t>106,6 contre 101,5</w:t>
      </w:r>
      <w:r w:rsidR="002D09B5">
        <w:rPr>
          <w:sz w:val="24"/>
          <w:szCs w:val="24"/>
        </w:rPr>
        <w:t>)</w:t>
      </w:r>
      <w:r w:rsidR="00BB55FA">
        <w:rPr>
          <w:sz w:val="24"/>
          <w:szCs w:val="24"/>
        </w:rPr>
        <w:t xml:space="preserve"> </w:t>
      </w:r>
      <w:r w:rsidR="003D72D0" w:rsidRPr="003D72D0">
        <w:rPr>
          <w:sz w:val="24"/>
          <w:szCs w:val="24"/>
        </w:rPr>
        <w:t xml:space="preserve">est en rapport avec l’évolution plus rapide des prix intérieurs </w:t>
      </w:r>
      <w:r w:rsidR="002D09B5">
        <w:rPr>
          <w:sz w:val="24"/>
          <w:szCs w:val="24"/>
        </w:rPr>
        <w:t>(+10,4</w:t>
      </w:r>
      <w:r w:rsidR="002D09B5" w:rsidRPr="002D09B5">
        <w:rPr>
          <w:sz w:val="24"/>
          <w:szCs w:val="24"/>
        </w:rPr>
        <w:t xml:space="preserve"> </w:t>
      </w:r>
      <w:r w:rsidR="002D09B5">
        <w:rPr>
          <w:sz w:val="24"/>
          <w:szCs w:val="24"/>
        </w:rPr>
        <w:t xml:space="preserve">p.c.) </w:t>
      </w:r>
      <w:r w:rsidR="003D72D0" w:rsidRPr="003D72D0">
        <w:rPr>
          <w:sz w:val="24"/>
          <w:szCs w:val="24"/>
        </w:rPr>
        <w:t xml:space="preserve">que ceux des pays partenaires commerciaux et/ou </w:t>
      </w:r>
      <w:proofErr w:type="gramStart"/>
      <w:r w:rsidR="003D72D0" w:rsidRPr="003D72D0">
        <w:rPr>
          <w:sz w:val="24"/>
          <w:szCs w:val="24"/>
        </w:rPr>
        <w:t>concurrents</w:t>
      </w:r>
      <w:r w:rsidR="002D09B5">
        <w:rPr>
          <w:sz w:val="24"/>
          <w:szCs w:val="24"/>
        </w:rPr>
        <w:t>(</w:t>
      </w:r>
      <w:proofErr w:type="gramEnd"/>
      <w:r w:rsidR="002D09B5">
        <w:rPr>
          <w:sz w:val="24"/>
          <w:szCs w:val="24"/>
        </w:rPr>
        <w:t>+9,6p.c.)</w:t>
      </w:r>
      <w:r w:rsidR="003D72D0" w:rsidRPr="003D72D0">
        <w:rPr>
          <w:sz w:val="24"/>
          <w:szCs w:val="24"/>
        </w:rPr>
        <w:t>.</w:t>
      </w:r>
    </w:p>
    <w:p w:rsidR="00901893" w:rsidRDefault="00901893" w:rsidP="00FB0571">
      <w:pPr>
        <w:pStyle w:val="Titre1"/>
        <w:rPr>
          <w:color w:val="00B0F0"/>
          <w:sz w:val="24"/>
          <w:szCs w:val="24"/>
        </w:rPr>
      </w:pPr>
      <w:bookmarkStart w:id="91" w:name="_Toc370461805"/>
      <w:bookmarkStart w:id="92" w:name="_Toc370462006"/>
      <w:bookmarkStart w:id="93" w:name="_Toc370462099"/>
    </w:p>
    <w:p w:rsidR="00901893" w:rsidRDefault="00901893" w:rsidP="00FB0571">
      <w:pPr>
        <w:pStyle w:val="Titre1"/>
        <w:rPr>
          <w:color w:val="00B0F0"/>
          <w:sz w:val="24"/>
          <w:szCs w:val="24"/>
        </w:rPr>
      </w:pPr>
    </w:p>
    <w:p w:rsidR="00901893" w:rsidRDefault="00901893" w:rsidP="00FB0571">
      <w:pPr>
        <w:pStyle w:val="Titre1"/>
        <w:rPr>
          <w:color w:val="00B0F0"/>
          <w:sz w:val="24"/>
          <w:szCs w:val="24"/>
        </w:rPr>
      </w:pPr>
    </w:p>
    <w:p w:rsidR="00901893" w:rsidRDefault="00901893" w:rsidP="00FB0571">
      <w:pPr>
        <w:pStyle w:val="Titre1"/>
        <w:rPr>
          <w:color w:val="00B0F0"/>
          <w:sz w:val="24"/>
          <w:szCs w:val="24"/>
        </w:rPr>
      </w:pPr>
    </w:p>
    <w:p w:rsidR="00901893" w:rsidRDefault="00901893" w:rsidP="00FB0571">
      <w:pPr>
        <w:pStyle w:val="Titre1"/>
        <w:rPr>
          <w:color w:val="00B0F0"/>
          <w:sz w:val="24"/>
          <w:szCs w:val="24"/>
        </w:rPr>
      </w:pPr>
    </w:p>
    <w:p w:rsidR="00901893" w:rsidRDefault="00901893" w:rsidP="00FB0571">
      <w:pPr>
        <w:pStyle w:val="Titre1"/>
        <w:rPr>
          <w:color w:val="00B0F0"/>
          <w:sz w:val="24"/>
          <w:szCs w:val="24"/>
        </w:rPr>
        <w:sectPr w:rsidR="00901893" w:rsidSect="002234B5">
          <w:type w:val="continuous"/>
          <w:pgSz w:w="11906" w:h="16838"/>
          <w:pgMar w:top="1417" w:right="1417" w:bottom="1417" w:left="1417" w:header="720" w:footer="720" w:gutter="0"/>
          <w:cols w:space="286"/>
          <w:docGrid w:linePitch="360"/>
        </w:sectPr>
      </w:pPr>
    </w:p>
    <w:p w:rsidR="001E5151" w:rsidRPr="000E5D72" w:rsidRDefault="001E5151" w:rsidP="001D6376">
      <w:pPr>
        <w:pStyle w:val="Titre1"/>
        <w:rPr>
          <w:rFonts w:asciiTheme="minorHAnsi" w:hAnsiTheme="minorHAnsi"/>
          <w:b w:val="0"/>
          <w:color w:val="00B0F0"/>
          <w:sz w:val="24"/>
          <w:szCs w:val="24"/>
        </w:rPr>
      </w:pPr>
      <w:bookmarkStart w:id="94" w:name="_Toc370719688"/>
      <w:bookmarkStart w:id="95" w:name="_Toc370721318"/>
      <w:bookmarkStart w:id="96" w:name="_Toc370721662"/>
      <w:r w:rsidRPr="000E5D72">
        <w:rPr>
          <w:rFonts w:asciiTheme="minorHAnsi" w:hAnsiTheme="minorHAnsi"/>
          <w:color w:val="00B0F0"/>
          <w:sz w:val="24"/>
          <w:szCs w:val="24"/>
        </w:rPr>
        <w:lastRenderedPageBreak/>
        <w:t>ANNEXE 1 : PRINCIPAUX INDICATEURS MENSUELS</w:t>
      </w:r>
      <w:bookmarkEnd w:id="91"/>
      <w:bookmarkEnd w:id="92"/>
      <w:bookmarkEnd w:id="93"/>
      <w:bookmarkEnd w:id="94"/>
      <w:bookmarkEnd w:id="95"/>
      <w:bookmarkEnd w:id="96"/>
    </w:p>
    <w:bookmarkStart w:id="97" w:name="_MON_1444482758"/>
    <w:bookmarkEnd w:id="97"/>
    <w:p w:rsidR="002234B5" w:rsidRDefault="000765E9" w:rsidP="002234B5">
      <w:pPr>
        <w:ind w:right="-4679"/>
        <w:jc w:val="both"/>
        <w:rPr>
          <w:sz w:val="24"/>
          <w:szCs w:val="24"/>
        </w:rPr>
        <w:sectPr w:rsidR="002234B5" w:rsidSect="00901893">
          <w:pgSz w:w="11906" w:h="16838"/>
          <w:pgMar w:top="1417" w:right="1417" w:bottom="1417" w:left="1417" w:header="720" w:footer="720" w:gutter="0"/>
          <w:cols w:space="286"/>
          <w:docGrid w:linePitch="360"/>
        </w:sectPr>
      </w:pPr>
      <w:r w:rsidRPr="00263DB3">
        <w:rPr>
          <w:sz w:val="24"/>
          <w:szCs w:val="24"/>
        </w:rPr>
        <w:object w:dxaOrig="17535" w:dyaOrig="20090">
          <v:shape id="_x0000_i1026" type="#_x0000_t75" style="width:483.75pt;height:647.25pt" o:ole="">
            <v:imagedata r:id="rId14" o:title=""/>
          </v:shape>
          <o:OLEObject Type="Embed" ProgID="Excel.Sheet.8" ShapeID="_x0000_i1026" DrawAspect="Content" ObjectID="_1444744558" r:id="rId15"/>
        </w:object>
      </w:r>
    </w:p>
    <w:p w:rsidR="001E5151" w:rsidRPr="000E5D72" w:rsidRDefault="002234B5" w:rsidP="001D6376">
      <w:pPr>
        <w:pStyle w:val="Titre1"/>
        <w:rPr>
          <w:rFonts w:asciiTheme="minorHAnsi" w:hAnsiTheme="minorHAnsi"/>
          <w:color w:val="00B0F0"/>
          <w:sz w:val="24"/>
          <w:szCs w:val="24"/>
        </w:rPr>
      </w:pPr>
      <w:bookmarkStart w:id="98" w:name="_Toc370461806"/>
      <w:bookmarkStart w:id="99" w:name="_Toc370462007"/>
      <w:bookmarkStart w:id="100" w:name="_Toc370462100"/>
      <w:bookmarkStart w:id="101" w:name="_Toc370719689"/>
      <w:bookmarkStart w:id="102" w:name="_Toc370721319"/>
      <w:bookmarkStart w:id="103" w:name="_Toc370721663"/>
      <w:r w:rsidRPr="000E5D72">
        <w:rPr>
          <w:rFonts w:asciiTheme="minorHAnsi" w:hAnsiTheme="minorHAnsi"/>
          <w:color w:val="00B0F0"/>
          <w:sz w:val="24"/>
          <w:szCs w:val="24"/>
        </w:rPr>
        <w:lastRenderedPageBreak/>
        <w:t>ANNEXE 2 : PRINCIPAUX INDICATEURS ANNUELS</w:t>
      </w:r>
      <w:bookmarkEnd w:id="98"/>
      <w:bookmarkEnd w:id="99"/>
      <w:bookmarkEnd w:id="100"/>
      <w:bookmarkEnd w:id="101"/>
      <w:bookmarkEnd w:id="102"/>
      <w:bookmarkEnd w:id="103"/>
    </w:p>
    <w:p w:rsidR="002234B5" w:rsidRPr="002E719D" w:rsidRDefault="002234B5" w:rsidP="002234B5">
      <w:pPr>
        <w:ind w:right="-4679"/>
        <w:jc w:val="both"/>
        <w:rPr>
          <w:sz w:val="24"/>
          <w:szCs w:val="24"/>
        </w:rPr>
      </w:pPr>
      <w:r w:rsidRPr="00263DB3">
        <w:rPr>
          <w:sz w:val="24"/>
          <w:szCs w:val="24"/>
        </w:rPr>
        <w:object w:dxaOrig="13521" w:dyaOrig="11910">
          <v:shape id="_x0000_i1027" type="#_x0000_t75" style="width:459pt;height:645.75pt" o:ole="">
            <v:imagedata r:id="rId16" o:title=""/>
          </v:shape>
          <o:OLEObject Type="Embed" ProgID="Excel.Sheet.12" ShapeID="_x0000_i1027" DrawAspect="Content" ObjectID="_1444744559" r:id="rId17"/>
        </w:object>
      </w:r>
    </w:p>
    <w:sectPr w:rsidR="002234B5" w:rsidRPr="002E719D" w:rsidSect="002234B5">
      <w:type w:val="continuous"/>
      <w:pgSz w:w="11906" w:h="16838"/>
      <w:pgMar w:top="1417" w:right="1417" w:bottom="1417" w:left="1417" w:header="720" w:footer="720"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BA" w:rsidRDefault="00353ABA" w:rsidP="00901893">
      <w:pPr>
        <w:spacing w:after="0" w:line="240" w:lineRule="auto"/>
      </w:pPr>
      <w:r>
        <w:separator/>
      </w:r>
    </w:p>
  </w:endnote>
  <w:endnote w:type="continuationSeparator" w:id="0">
    <w:p w:rsidR="00353ABA" w:rsidRDefault="00353ABA" w:rsidP="00901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18" w:rsidRDefault="00E15218">
    <w:pPr>
      <w:pStyle w:val="Pieddepage"/>
      <w:jc w:val="right"/>
    </w:pPr>
  </w:p>
  <w:p w:rsidR="00E15218" w:rsidRDefault="00E152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BA" w:rsidRDefault="00353ABA" w:rsidP="00901893">
      <w:pPr>
        <w:spacing w:after="0" w:line="240" w:lineRule="auto"/>
      </w:pPr>
      <w:r>
        <w:separator/>
      </w:r>
    </w:p>
  </w:footnote>
  <w:footnote w:type="continuationSeparator" w:id="0">
    <w:p w:rsidR="00353ABA" w:rsidRDefault="00353ABA" w:rsidP="00901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934"/>
      <w:docPartObj>
        <w:docPartGallery w:val="Page Numbers (Top of Page)"/>
        <w:docPartUnique/>
      </w:docPartObj>
    </w:sdtPr>
    <w:sdtContent>
      <w:p w:rsidR="00E15218" w:rsidRDefault="00BE7308">
        <w:pPr>
          <w:pStyle w:val="En-tte"/>
          <w:jc w:val="right"/>
        </w:pPr>
        <w:fldSimple w:instr=" PAGE   \* MERGEFORMAT ">
          <w:r w:rsidR="00591D4E">
            <w:rPr>
              <w:noProof/>
            </w:rPr>
            <w:t>5</w:t>
          </w:r>
        </w:fldSimple>
      </w:p>
    </w:sdtContent>
  </w:sdt>
  <w:p w:rsidR="00901893" w:rsidRDefault="0090189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18" w:rsidRDefault="00E15218">
    <w:pPr>
      <w:pStyle w:val="En-tte"/>
      <w:jc w:val="right"/>
    </w:pPr>
  </w:p>
  <w:p w:rsidR="00E15218" w:rsidRDefault="00E1521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935"/>
      <w:docPartObj>
        <w:docPartGallery w:val="Page Numbers (Top of Page)"/>
        <w:docPartUnique/>
      </w:docPartObj>
    </w:sdtPr>
    <w:sdtContent>
      <w:p w:rsidR="00E15218" w:rsidRDefault="00BE7308">
        <w:pPr>
          <w:pStyle w:val="En-tte"/>
          <w:jc w:val="right"/>
        </w:pPr>
        <w:fldSimple w:instr=" PAGE   \* MERGEFORMAT ">
          <w:r w:rsidR="00591D4E">
            <w:rPr>
              <w:noProof/>
            </w:rPr>
            <w:t>1</w:t>
          </w:r>
        </w:fldSimple>
      </w:p>
    </w:sdtContent>
  </w:sdt>
  <w:p w:rsidR="00E15218" w:rsidRDefault="00E1521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691"/>
    <w:multiLevelType w:val="hybridMultilevel"/>
    <w:tmpl w:val="4CF24C68"/>
    <w:lvl w:ilvl="0" w:tplc="1A80F2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531C"/>
    <w:rsid w:val="0000466F"/>
    <w:rsid w:val="000765E9"/>
    <w:rsid w:val="000903C7"/>
    <w:rsid w:val="00093332"/>
    <w:rsid w:val="000C0E17"/>
    <w:rsid w:val="000D397A"/>
    <w:rsid w:val="000E5D72"/>
    <w:rsid w:val="00140795"/>
    <w:rsid w:val="00155D2E"/>
    <w:rsid w:val="001909BB"/>
    <w:rsid w:val="001A3CE2"/>
    <w:rsid w:val="001D6376"/>
    <w:rsid w:val="001E5151"/>
    <w:rsid w:val="001F429F"/>
    <w:rsid w:val="002234B5"/>
    <w:rsid w:val="00240136"/>
    <w:rsid w:val="00251097"/>
    <w:rsid w:val="00263DB3"/>
    <w:rsid w:val="00281831"/>
    <w:rsid w:val="00290447"/>
    <w:rsid w:val="002A58CD"/>
    <w:rsid w:val="002C050E"/>
    <w:rsid w:val="002D06B5"/>
    <w:rsid w:val="002D09B5"/>
    <w:rsid w:val="002D741F"/>
    <w:rsid w:val="002E6630"/>
    <w:rsid w:val="002E719D"/>
    <w:rsid w:val="002F3678"/>
    <w:rsid w:val="00310954"/>
    <w:rsid w:val="00351CBF"/>
    <w:rsid w:val="00353ABA"/>
    <w:rsid w:val="00353CAE"/>
    <w:rsid w:val="003D72D0"/>
    <w:rsid w:val="003D78CB"/>
    <w:rsid w:val="003F08D6"/>
    <w:rsid w:val="00404DD0"/>
    <w:rsid w:val="00462778"/>
    <w:rsid w:val="004945A1"/>
    <w:rsid w:val="004C4631"/>
    <w:rsid w:val="00507CD9"/>
    <w:rsid w:val="005141F3"/>
    <w:rsid w:val="00514E0A"/>
    <w:rsid w:val="005918CC"/>
    <w:rsid w:val="00591D4E"/>
    <w:rsid w:val="005A34E0"/>
    <w:rsid w:val="005A57ED"/>
    <w:rsid w:val="005C20A2"/>
    <w:rsid w:val="005D74E9"/>
    <w:rsid w:val="006057A5"/>
    <w:rsid w:val="00610EE5"/>
    <w:rsid w:val="006811D0"/>
    <w:rsid w:val="006F1115"/>
    <w:rsid w:val="006F2DED"/>
    <w:rsid w:val="0074133B"/>
    <w:rsid w:val="007754FD"/>
    <w:rsid w:val="0077607A"/>
    <w:rsid w:val="007A6509"/>
    <w:rsid w:val="007B7E4B"/>
    <w:rsid w:val="007C4D3F"/>
    <w:rsid w:val="007F5560"/>
    <w:rsid w:val="00801EAE"/>
    <w:rsid w:val="00814A87"/>
    <w:rsid w:val="00820EE5"/>
    <w:rsid w:val="008724DB"/>
    <w:rsid w:val="00873C41"/>
    <w:rsid w:val="008820D6"/>
    <w:rsid w:val="00885E24"/>
    <w:rsid w:val="008B2EDA"/>
    <w:rsid w:val="00901893"/>
    <w:rsid w:val="00920CF9"/>
    <w:rsid w:val="00924E05"/>
    <w:rsid w:val="00943F6B"/>
    <w:rsid w:val="00971922"/>
    <w:rsid w:val="009A13E2"/>
    <w:rsid w:val="009D2180"/>
    <w:rsid w:val="009D6494"/>
    <w:rsid w:val="009E6480"/>
    <w:rsid w:val="009F531C"/>
    <w:rsid w:val="00A7207A"/>
    <w:rsid w:val="00A87649"/>
    <w:rsid w:val="00B27B53"/>
    <w:rsid w:val="00B93C86"/>
    <w:rsid w:val="00BB55FA"/>
    <w:rsid w:val="00BD58C2"/>
    <w:rsid w:val="00BE7308"/>
    <w:rsid w:val="00C04752"/>
    <w:rsid w:val="00C22F2D"/>
    <w:rsid w:val="00C2784C"/>
    <w:rsid w:val="00C62EB4"/>
    <w:rsid w:val="00C75952"/>
    <w:rsid w:val="00C91910"/>
    <w:rsid w:val="00C92BFB"/>
    <w:rsid w:val="00C967C5"/>
    <w:rsid w:val="00CA0310"/>
    <w:rsid w:val="00CE7668"/>
    <w:rsid w:val="00CF4C1F"/>
    <w:rsid w:val="00D55A47"/>
    <w:rsid w:val="00D70B86"/>
    <w:rsid w:val="00D93EAD"/>
    <w:rsid w:val="00DD55A6"/>
    <w:rsid w:val="00DE5D37"/>
    <w:rsid w:val="00DE7288"/>
    <w:rsid w:val="00DF0A43"/>
    <w:rsid w:val="00DF4566"/>
    <w:rsid w:val="00E0307B"/>
    <w:rsid w:val="00E15218"/>
    <w:rsid w:val="00E17E5F"/>
    <w:rsid w:val="00E5161E"/>
    <w:rsid w:val="00E713A0"/>
    <w:rsid w:val="00EA37CF"/>
    <w:rsid w:val="00EC77F8"/>
    <w:rsid w:val="00F04F82"/>
    <w:rsid w:val="00F15D36"/>
    <w:rsid w:val="00F27F9C"/>
    <w:rsid w:val="00F4079B"/>
    <w:rsid w:val="00F40949"/>
    <w:rsid w:val="00F624CB"/>
    <w:rsid w:val="00FB0571"/>
    <w:rsid w:val="00FD108D"/>
    <w:rsid w:val="00FE07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1C"/>
  </w:style>
  <w:style w:type="paragraph" w:styleId="Titre1">
    <w:name w:val="heading 1"/>
    <w:basedOn w:val="Normal"/>
    <w:next w:val="Normal"/>
    <w:link w:val="Titre1Car"/>
    <w:uiPriority w:val="9"/>
    <w:qFormat/>
    <w:rsid w:val="00FB0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B0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B0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404DD0"/>
    <w:pPr>
      <w:widowControl w:val="0"/>
      <w:autoSpaceDE w:val="0"/>
      <w:autoSpaceDN w:val="0"/>
      <w:adjustRightInd w:val="0"/>
      <w:spacing w:after="0" w:line="240" w:lineRule="auto"/>
      <w:ind w:firstLine="720"/>
      <w:jc w:val="both"/>
    </w:pPr>
    <w:rPr>
      <w:rFonts w:ascii="Calibri" w:eastAsia="Times New Roman" w:hAnsi="Calibri" w:cs="Calibri"/>
      <w:sz w:val="28"/>
      <w:szCs w:val="24"/>
      <w:lang w:eastAsia="fr-FR"/>
    </w:rPr>
  </w:style>
  <w:style w:type="character" w:customStyle="1" w:styleId="RetraitcorpsdetexteCar">
    <w:name w:val="Retrait corps de texte Car"/>
    <w:basedOn w:val="Policepardfaut"/>
    <w:link w:val="Retraitcorpsdetexte"/>
    <w:rsid w:val="00404DD0"/>
    <w:rPr>
      <w:rFonts w:ascii="Calibri" w:eastAsia="Times New Roman" w:hAnsi="Calibri" w:cs="Calibri"/>
      <w:sz w:val="28"/>
      <w:szCs w:val="24"/>
      <w:lang w:eastAsia="fr-FR"/>
    </w:rPr>
  </w:style>
  <w:style w:type="paragraph" w:styleId="Retraitcorpsdetexte3">
    <w:name w:val="Body Text Indent 3"/>
    <w:basedOn w:val="Normal"/>
    <w:link w:val="Retraitcorpsdetexte3Car"/>
    <w:rsid w:val="00404DD0"/>
    <w:pPr>
      <w:widowControl w:val="0"/>
      <w:autoSpaceDE w:val="0"/>
      <w:autoSpaceDN w:val="0"/>
      <w:adjustRightInd w:val="0"/>
      <w:spacing w:after="0" w:line="240" w:lineRule="auto"/>
      <w:ind w:firstLine="720"/>
      <w:jc w:val="both"/>
    </w:pPr>
    <w:rPr>
      <w:rFonts w:ascii="Calibri" w:eastAsia="Times New Roman" w:hAnsi="Calibri" w:cs="Calibri"/>
      <w:color w:val="FF0000"/>
      <w:sz w:val="28"/>
      <w:szCs w:val="28"/>
      <w:lang w:eastAsia="fr-FR"/>
    </w:rPr>
  </w:style>
  <w:style w:type="character" w:customStyle="1" w:styleId="Retraitcorpsdetexte3Car">
    <w:name w:val="Retrait corps de texte 3 Car"/>
    <w:basedOn w:val="Policepardfaut"/>
    <w:link w:val="Retraitcorpsdetexte3"/>
    <w:rsid w:val="00404DD0"/>
    <w:rPr>
      <w:rFonts w:ascii="Calibri" w:eastAsia="Times New Roman" w:hAnsi="Calibri" w:cs="Calibri"/>
      <w:color w:val="FF0000"/>
      <w:sz w:val="28"/>
      <w:szCs w:val="28"/>
      <w:lang w:eastAsia="fr-FR"/>
    </w:rPr>
  </w:style>
  <w:style w:type="character" w:customStyle="1" w:styleId="Titre1Car">
    <w:name w:val="Titre 1 Car"/>
    <w:basedOn w:val="Policepardfaut"/>
    <w:link w:val="Titre1"/>
    <w:uiPriority w:val="9"/>
    <w:rsid w:val="00FB057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FB0571"/>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FB0571"/>
    <w:rPr>
      <w:rFonts w:asciiTheme="majorHAnsi" w:eastAsiaTheme="majorEastAsia" w:hAnsiTheme="majorHAnsi" w:cstheme="majorBidi"/>
      <w:b/>
      <w:bCs/>
      <w:color w:val="4F81BD" w:themeColor="accent1"/>
      <w:sz w:val="26"/>
      <w:szCs w:val="26"/>
    </w:rPr>
  </w:style>
  <w:style w:type="paragraph" w:styleId="En-ttedetabledesmatires">
    <w:name w:val="TOC Heading"/>
    <w:basedOn w:val="Titre1"/>
    <w:next w:val="Normal"/>
    <w:uiPriority w:val="39"/>
    <w:unhideWhenUsed/>
    <w:qFormat/>
    <w:rsid w:val="00FB0571"/>
    <w:pPr>
      <w:outlineLvl w:val="9"/>
    </w:pPr>
  </w:style>
  <w:style w:type="paragraph" w:styleId="TM1">
    <w:name w:val="toc 1"/>
    <w:basedOn w:val="Normal"/>
    <w:next w:val="Normal"/>
    <w:autoRedefine/>
    <w:uiPriority w:val="39"/>
    <w:unhideWhenUsed/>
    <w:rsid w:val="006811D0"/>
    <w:pPr>
      <w:tabs>
        <w:tab w:val="right" w:leader="dot" w:pos="9062"/>
      </w:tabs>
      <w:spacing w:after="100"/>
    </w:pPr>
    <w:rPr>
      <w:rFonts w:ascii="Calibri" w:eastAsia="Calibri" w:hAnsi="Calibri" w:cs="Times New Roman"/>
      <w:b/>
      <w:noProof/>
      <w:sz w:val="24"/>
      <w:lang w:val="fr-BE"/>
    </w:rPr>
  </w:style>
  <w:style w:type="paragraph" w:styleId="TM2">
    <w:name w:val="toc 2"/>
    <w:basedOn w:val="Normal"/>
    <w:next w:val="Normal"/>
    <w:autoRedefine/>
    <w:uiPriority w:val="39"/>
    <w:unhideWhenUsed/>
    <w:rsid w:val="00FB0571"/>
    <w:pPr>
      <w:tabs>
        <w:tab w:val="right" w:leader="dot" w:pos="4166"/>
      </w:tabs>
      <w:spacing w:after="100"/>
    </w:pPr>
  </w:style>
  <w:style w:type="paragraph" w:styleId="TM3">
    <w:name w:val="toc 3"/>
    <w:basedOn w:val="Normal"/>
    <w:next w:val="Normal"/>
    <w:autoRedefine/>
    <w:uiPriority w:val="39"/>
    <w:unhideWhenUsed/>
    <w:rsid w:val="00FB0571"/>
    <w:pPr>
      <w:spacing w:after="100"/>
      <w:ind w:left="440"/>
    </w:pPr>
  </w:style>
  <w:style w:type="character" w:styleId="Lienhypertexte">
    <w:name w:val="Hyperlink"/>
    <w:basedOn w:val="Policepardfaut"/>
    <w:uiPriority w:val="99"/>
    <w:unhideWhenUsed/>
    <w:rsid w:val="00FB0571"/>
    <w:rPr>
      <w:color w:val="0000FF" w:themeColor="hyperlink"/>
      <w:u w:val="single"/>
    </w:rPr>
  </w:style>
  <w:style w:type="paragraph" w:styleId="Textedebulles">
    <w:name w:val="Balloon Text"/>
    <w:basedOn w:val="Normal"/>
    <w:link w:val="TextedebullesCar"/>
    <w:uiPriority w:val="99"/>
    <w:semiHidden/>
    <w:unhideWhenUsed/>
    <w:rsid w:val="00FB05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571"/>
    <w:rPr>
      <w:rFonts w:ascii="Tahoma" w:hAnsi="Tahoma" w:cs="Tahoma"/>
      <w:sz w:val="16"/>
      <w:szCs w:val="16"/>
    </w:rPr>
  </w:style>
  <w:style w:type="paragraph" w:styleId="Paragraphedeliste">
    <w:name w:val="List Paragraph"/>
    <w:basedOn w:val="Normal"/>
    <w:uiPriority w:val="34"/>
    <w:qFormat/>
    <w:rsid w:val="00901893"/>
    <w:pPr>
      <w:ind w:left="720"/>
      <w:contextualSpacing/>
    </w:pPr>
  </w:style>
  <w:style w:type="paragraph" w:styleId="En-tte">
    <w:name w:val="header"/>
    <w:basedOn w:val="Normal"/>
    <w:link w:val="En-tteCar"/>
    <w:uiPriority w:val="99"/>
    <w:unhideWhenUsed/>
    <w:rsid w:val="00901893"/>
    <w:pPr>
      <w:tabs>
        <w:tab w:val="center" w:pos="4536"/>
        <w:tab w:val="right" w:pos="9072"/>
      </w:tabs>
      <w:spacing w:after="0" w:line="240" w:lineRule="auto"/>
    </w:pPr>
  </w:style>
  <w:style w:type="character" w:customStyle="1" w:styleId="En-tteCar">
    <w:name w:val="En-tête Car"/>
    <w:basedOn w:val="Policepardfaut"/>
    <w:link w:val="En-tte"/>
    <w:uiPriority w:val="99"/>
    <w:rsid w:val="00901893"/>
  </w:style>
  <w:style w:type="paragraph" w:styleId="Pieddepage">
    <w:name w:val="footer"/>
    <w:basedOn w:val="Normal"/>
    <w:link w:val="PieddepageCar"/>
    <w:uiPriority w:val="99"/>
    <w:unhideWhenUsed/>
    <w:rsid w:val="009018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18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Feuille_Microsoft_Office_Excel_97-20031.xls"/><Relationship Id="rId17" Type="http://schemas.openxmlformats.org/officeDocument/2006/relationships/package" Target="embeddings/Feuille_Microsoft_Office_Excel1.xlsx"/><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oleObject" Target="embeddings/Feuille_Microsoft_Office_Excel_97-20032.xls"/><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70991-83A2-4931-9D60-E97242C7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2253</Words>
  <Characters>12393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KAIM</cp:lastModifiedBy>
  <cp:revision>17</cp:revision>
  <cp:lastPrinted>2013-10-31T14:44:00Z</cp:lastPrinted>
  <dcterms:created xsi:type="dcterms:W3CDTF">2013-10-28T09:12:00Z</dcterms:created>
  <dcterms:modified xsi:type="dcterms:W3CDTF">2013-10-31T15:09:00Z</dcterms:modified>
</cp:coreProperties>
</file>