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06" w:rsidRPr="00AE6DCB" w:rsidRDefault="00AA0406" w:rsidP="008A3D22">
      <w:pPr>
        <w:jc w:val="center"/>
        <w:rPr>
          <w:noProof/>
          <w:sz w:val="24"/>
          <w:szCs w:val="24"/>
        </w:rPr>
      </w:pPr>
      <w:bookmarkStart w:id="0" w:name="OLE_LINK1"/>
      <w:r w:rsidRPr="00AE6DCB">
        <w:rPr>
          <w:noProof/>
          <w:sz w:val="24"/>
          <w:szCs w:val="24"/>
          <w:lang w:eastAsia="fr-FR"/>
        </w:rPr>
        <w:drawing>
          <wp:inline distT="0" distB="0" distL="0" distR="0">
            <wp:extent cx="1229360" cy="1107440"/>
            <wp:effectExtent l="19050" t="0" r="889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srcRect/>
                    <a:stretch>
                      <a:fillRect/>
                    </a:stretch>
                  </pic:blipFill>
                  <pic:spPr bwMode="auto">
                    <a:xfrm>
                      <a:off x="0" y="0"/>
                      <a:ext cx="1229360" cy="1107440"/>
                    </a:xfrm>
                    <a:prstGeom prst="rect">
                      <a:avLst/>
                    </a:prstGeom>
                    <a:noFill/>
                    <a:ln w="9525">
                      <a:noFill/>
                      <a:miter lim="800000"/>
                      <a:headEnd/>
                      <a:tailEnd/>
                    </a:ln>
                  </pic:spPr>
                </pic:pic>
              </a:graphicData>
            </a:graphic>
          </wp:inline>
        </w:drawing>
      </w:r>
    </w:p>
    <w:p w:rsidR="00AA0406" w:rsidRPr="00AE6DCB" w:rsidRDefault="00AA0406" w:rsidP="008A3D22">
      <w:pPr>
        <w:jc w:val="center"/>
        <w:rPr>
          <w:rFonts w:cs="Arial Narrow"/>
          <w:b/>
          <w:bCs/>
          <w:shadow/>
          <w:noProof/>
          <w:sz w:val="24"/>
          <w:szCs w:val="24"/>
        </w:rPr>
      </w:pPr>
      <w:r w:rsidRPr="00AE6DCB">
        <w:rPr>
          <w:rFonts w:cs="Arial Narrow"/>
          <w:b/>
          <w:bCs/>
          <w:shadow/>
          <w:noProof/>
          <w:sz w:val="24"/>
          <w:szCs w:val="24"/>
        </w:rPr>
        <w:t>BANQUE DE LA REPUBLIQUE DU BURUNDI</w:t>
      </w:r>
    </w:p>
    <w:p w:rsidR="00AA0406" w:rsidRPr="00AE6DCB" w:rsidRDefault="00AA0406" w:rsidP="008A3D22">
      <w:pPr>
        <w:jc w:val="center"/>
        <w:rPr>
          <w:rFonts w:cs="Arial Narrow"/>
          <w:b/>
          <w:bCs/>
          <w:shadow/>
          <w:noProof/>
          <w:sz w:val="24"/>
          <w:szCs w:val="24"/>
        </w:rPr>
      </w:pPr>
      <w:r w:rsidRPr="00AE6DCB">
        <w:rPr>
          <w:rFonts w:cs="Arial Narrow"/>
          <w:b/>
          <w:bCs/>
          <w:shadow/>
          <w:noProof/>
          <w:sz w:val="24"/>
          <w:szCs w:val="24"/>
        </w:rPr>
        <w:t>SERVICE ETUDES ET STATISTIQUES</w:t>
      </w:r>
    </w:p>
    <w:p w:rsidR="00AA0406" w:rsidRPr="00AE6DCB" w:rsidRDefault="00BE1E63" w:rsidP="003A11DF">
      <w:pPr>
        <w:jc w:val="both"/>
        <w:rPr>
          <w:color w:val="0000FF"/>
          <w:sz w:val="24"/>
          <w:szCs w:val="24"/>
        </w:rPr>
      </w:pPr>
      <w:r>
        <w:rPr>
          <w:noProof/>
          <w:color w:val="0000FF"/>
          <w:sz w:val="24"/>
          <w:szCs w:val="24"/>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1" type="#_x0000_t80" style="position:absolute;left:0;text-align:left;margin-left:106.15pt;margin-top:12pt;width:270pt;height:108pt;z-index:251662336" fillcolor="silver">
            <v:textbox style="mso-next-textbox:#_x0000_s1031">
              <w:txbxContent>
                <w:p w:rsidR="00AA0406" w:rsidRPr="00985730" w:rsidRDefault="00AA0406" w:rsidP="008A3D22">
                  <w:pPr>
                    <w:shd w:val="clear" w:color="auto" w:fill="C0C0C0"/>
                    <w:jc w:val="center"/>
                    <w:rPr>
                      <w:rFonts w:ascii="Arial Narrow" w:hAnsi="Arial Narrow" w:cs="Arial Narrow"/>
                      <w:b/>
                      <w:bCs/>
                      <w:color w:val="0000FF"/>
                      <w:sz w:val="52"/>
                      <w:szCs w:val="52"/>
                      <w:lang w:val="fr-BE"/>
                    </w:rPr>
                  </w:pPr>
                  <w:r w:rsidRPr="00985730">
                    <w:rPr>
                      <w:rFonts w:ascii="Arial Narrow" w:hAnsi="Arial Narrow" w:cs="Arial Narrow"/>
                      <w:b/>
                      <w:bCs/>
                      <w:color w:val="0000FF"/>
                      <w:sz w:val="52"/>
                      <w:szCs w:val="52"/>
                      <w:lang w:val="fr-BE"/>
                    </w:rPr>
                    <w:t>INDICATEURS DE CONJONCTURE</w:t>
                  </w:r>
                </w:p>
                <w:p w:rsidR="00AA0406" w:rsidRDefault="00AA0406" w:rsidP="00AA0406">
                  <w:pPr>
                    <w:jc w:val="center"/>
                  </w:pPr>
                </w:p>
              </w:txbxContent>
            </v:textbox>
          </v:shape>
        </w:pict>
      </w:r>
      <w:r>
        <w:rPr>
          <w:color w:val="0000FF"/>
          <w:sz w:val="24"/>
          <w:szCs w:val="24"/>
        </w:rPr>
      </w:r>
      <w:r>
        <w:rPr>
          <w:color w:val="0000FF"/>
          <w:sz w:val="24"/>
          <w:szCs w:val="24"/>
        </w:rPr>
        <w:pict>
          <v:group id="_x0000_s1029" editas="canvas" style="width:306pt;height:126pt;mso-position-horizontal-relative:char;mso-position-vertical-relative:line" coordorigin="4061,6971" coordsize="4896,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061;top:6971;width:4896;height:2016" o:preferrelative="f">
              <v:fill o:detectmouseclick="t"/>
              <v:path o:extrusionok="t" o:connecttype="none"/>
              <o:lock v:ext="edit" text="t"/>
            </v:shape>
            <w10:wrap type="none"/>
            <w10:anchorlock/>
          </v:group>
        </w:pict>
      </w:r>
    </w:p>
    <w:bookmarkEnd w:id="0"/>
    <w:p w:rsidR="00AA0406" w:rsidRPr="00AE6DCB" w:rsidRDefault="00AA0406" w:rsidP="003A11DF">
      <w:pPr>
        <w:pStyle w:val="Titre2"/>
        <w:jc w:val="both"/>
        <w:rPr>
          <w:rFonts w:asciiTheme="minorHAnsi" w:hAnsiTheme="minorHAnsi"/>
          <w:b w:val="0"/>
          <w:bCs w:val="0"/>
          <w:color w:val="0000FF"/>
          <w:sz w:val="24"/>
          <w:szCs w:val="24"/>
        </w:rPr>
      </w:pPr>
      <w:r w:rsidRPr="00AE6DCB">
        <w:rPr>
          <w:rFonts w:asciiTheme="minorHAnsi" w:hAnsiTheme="minorHAnsi"/>
          <w:sz w:val="24"/>
          <w:szCs w:val="24"/>
        </w:rPr>
        <w:t xml:space="preserve">     </w:t>
      </w:r>
    </w:p>
    <w:p w:rsidR="00AA0406" w:rsidRPr="00AE6DCB" w:rsidRDefault="00AA0406" w:rsidP="003A11DF">
      <w:pPr>
        <w:jc w:val="both"/>
        <w:rPr>
          <w:b/>
          <w:bCs/>
          <w:color w:val="0000FF"/>
          <w:sz w:val="24"/>
          <w:szCs w:val="24"/>
        </w:rPr>
      </w:pPr>
    </w:p>
    <w:p w:rsidR="00AA0406" w:rsidRPr="00AE6DCB" w:rsidRDefault="00AA0406" w:rsidP="003A11DF">
      <w:pPr>
        <w:jc w:val="both"/>
        <w:rPr>
          <w:color w:val="0000FF"/>
          <w:sz w:val="24"/>
          <w:szCs w:val="24"/>
        </w:rPr>
      </w:pPr>
    </w:p>
    <w:p w:rsidR="00AA0406" w:rsidRPr="00AE6DCB" w:rsidRDefault="00BE1E63" w:rsidP="003A11DF">
      <w:pPr>
        <w:jc w:val="both"/>
        <w:rPr>
          <w:color w:val="0000FF"/>
          <w:sz w:val="24"/>
          <w:szCs w:val="24"/>
        </w:rPr>
      </w:pPr>
      <w:r w:rsidRPr="00BE1E63">
        <w:rPr>
          <w:noProof/>
          <w:sz w:val="24"/>
          <w:szCs w:val="24"/>
        </w:rPr>
        <w:pict>
          <v:shape id="computr3" o:spid="_x0000_s1033" style="position:absolute;left:0;text-align:left;margin-left:63pt;margin-top:-82.7pt;width:354.4pt;height:312.35pt;z-index:251661312" coordsize="21600,21600" o:spt="100" adj="-11796480,,5400" path="m18250,17743r-693,-772l5429,16971r-693,772l18250,17743xem18250,17743t1155,1388l18712,18360r-14438,l3581,19131r15824,xem19405,19131t1155,1389l19867,19749r-16748,l2426,20520r18134,xem20560,20520,4620,16971r693,-771l7624,16200r,-2006l5891,14194,5891,r6122,l18135,r,10800l18135,14194r-1733,l16402,16200r1386,l19059,17743r1963,2160l21253,20057r116,309l21600,20674r,155l21600,20983r,154l21600,21291r,l21484,21446r-115,l21138,21600r-116,l10973,21600r-8894,l1848,21600r-115,-154l1617,21446r-115,-155l1386,21291r,-154l1386,20983r,-154l1502,20674r115,-308l1733,20057r231,-154l,19903,,10800,,2777r4620,l4620,16971t,m4620,16971r-462,463l2541,19286r-577,617l4620,16971xem7624,2314t8778,l16402,11880r-8778,l7624,2314xem578,4011t3465,l4043,4320r-3465,l578,4011xm7624,14194r8778,l16402,16200r-8778,e" fillcolor="#cff">
            <v:stroke joinstyle="miter"/>
            <v:formulas/>
            <v:path o:extrusionok="f" o:connecttype="custom" o:connectlocs="0,10800;10800,0;10800,21600;18135,10800" textboxrect="7811,2584,16359,11764"/>
            <o:lock v:ext="edit" verticies="t"/>
            <v:textbox style="mso-next-textbox:#computr3">
              <w:txbxContent>
                <w:p w:rsidR="00AA0406" w:rsidRPr="00985730" w:rsidRDefault="00AA0406" w:rsidP="00AA0406">
                  <w:pPr>
                    <w:jc w:val="center"/>
                    <w:rPr>
                      <w:b/>
                      <w:bCs/>
                      <w:i/>
                      <w:iCs/>
                      <w:color w:val="0000FF"/>
                      <w:sz w:val="24"/>
                      <w:szCs w:val="24"/>
                      <w:lang w:val="fr-BE"/>
                    </w:rPr>
                  </w:pPr>
                  <w:r w:rsidRPr="00985730">
                    <w:rPr>
                      <w:b/>
                      <w:bCs/>
                      <w:i/>
                      <w:iCs/>
                      <w:color w:val="0000FF"/>
                      <w:sz w:val="24"/>
                      <w:szCs w:val="24"/>
                      <w:lang w:val="fr-BE"/>
                    </w:rPr>
                    <w:t>Production, Finances Publiques, Monnaie et crédit, Commerce Extérieur,</w:t>
                  </w:r>
                  <w:r w:rsidRPr="005176E2">
                    <w:rPr>
                      <w:b/>
                      <w:bCs/>
                      <w:i/>
                      <w:iCs/>
                      <w:color w:val="0000FF"/>
                      <w:sz w:val="24"/>
                      <w:szCs w:val="24"/>
                      <w:lang w:val="fr-BE"/>
                    </w:rPr>
                    <w:t xml:space="preserve"> </w:t>
                  </w:r>
                  <w:r>
                    <w:rPr>
                      <w:b/>
                      <w:bCs/>
                      <w:i/>
                      <w:iCs/>
                      <w:color w:val="0000FF"/>
                      <w:sz w:val="24"/>
                      <w:szCs w:val="24"/>
                      <w:lang w:val="fr-BE"/>
                    </w:rPr>
                    <w:t xml:space="preserve">Indice des </w:t>
                  </w:r>
                  <w:r w:rsidR="000516B0">
                    <w:rPr>
                      <w:b/>
                      <w:bCs/>
                      <w:i/>
                      <w:iCs/>
                      <w:color w:val="0000FF"/>
                      <w:sz w:val="24"/>
                      <w:szCs w:val="24"/>
                      <w:lang w:val="fr-BE"/>
                    </w:rPr>
                    <w:t>Prix,</w:t>
                  </w:r>
                  <w:r w:rsidRPr="00985730">
                    <w:rPr>
                      <w:b/>
                      <w:bCs/>
                      <w:i/>
                      <w:iCs/>
                      <w:color w:val="0000FF"/>
                      <w:sz w:val="24"/>
                      <w:szCs w:val="24"/>
                      <w:lang w:val="fr-BE"/>
                    </w:rPr>
                    <w:t xml:space="preserve"> Taux de change</w:t>
                  </w:r>
                  <w:r w:rsidR="000516B0">
                    <w:rPr>
                      <w:b/>
                      <w:bCs/>
                      <w:i/>
                      <w:iCs/>
                      <w:color w:val="0000FF"/>
                      <w:sz w:val="24"/>
                      <w:szCs w:val="24"/>
                      <w:lang w:val="fr-BE"/>
                    </w:rPr>
                    <w:t xml:space="preserve"> et Principaux indicateurs d’activité du secteur bancaire </w:t>
                  </w:r>
                  <w:r>
                    <w:rPr>
                      <w:b/>
                      <w:bCs/>
                      <w:i/>
                      <w:iCs/>
                      <w:color w:val="0000FF"/>
                      <w:sz w:val="24"/>
                      <w:szCs w:val="24"/>
                      <w:lang w:val="fr-BE"/>
                    </w:rPr>
                    <w:t xml:space="preserve"> </w:t>
                  </w:r>
                </w:p>
              </w:txbxContent>
            </v:textbox>
            <w10:wrap side="left"/>
            <w10:anchorlock/>
          </v:shape>
        </w:pict>
      </w:r>
    </w:p>
    <w:p w:rsidR="00AA0406" w:rsidRPr="00AE6DCB" w:rsidRDefault="00AA0406" w:rsidP="003A11DF">
      <w:pPr>
        <w:jc w:val="both"/>
        <w:rPr>
          <w:color w:val="0000FF"/>
          <w:sz w:val="24"/>
          <w:szCs w:val="24"/>
        </w:rPr>
      </w:pPr>
    </w:p>
    <w:p w:rsidR="00AA0406" w:rsidRPr="00AE6DCB" w:rsidRDefault="00AA0406" w:rsidP="003A11DF">
      <w:pPr>
        <w:jc w:val="both"/>
        <w:rPr>
          <w:color w:val="0000FF"/>
          <w:sz w:val="24"/>
          <w:szCs w:val="24"/>
        </w:rPr>
      </w:pPr>
    </w:p>
    <w:p w:rsidR="00AA0406" w:rsidRPr="00AE6DCB" w:rsidRDefault="00AA0406" w:rsidP="003A11DF">
      <w:pPr>
        <w:jc w:val="both"/>
        <w:rPr>
          <w:color w:val="0000FF"/>
          <w:sz w:val="24"/>
          <w:szCs w:val="24"/>
        </w:rPr>
      </w:pPr>
    </w:p>
    <w:p w:rsidR="00AA0406" w:rsidRPr="00AE6DCB" w:rsidRDefault="00AA0406" w:rsidP="003A11DF">
      <w:pPr>
        <w:jc w:val="both"/>
        <w:rPr>
          <w:color w:val="0000FF"/>
          <w:sz w:val="24"/>
          <w:szCs w:val="24"/>
        </w:rPr>
      </w:pPr>
    </w:p>
    <w:p w:rsidR="00AA0406" w:rsidRPr="00AE6DCB" w:rsidRDefault="00AA0406" w:rsidP="003A11DF">
      <w:pPr>
        <w:jc w:val="both"/>
        <w:rPr>
          <w:color w:val="0000FF"/>
          <w:sz w:val="24"/>
          <w:szCs w:val="24"/>
        </w:rPr>
      </w:pPr>
    </w:p>
    <w:p w:rsidR="00AA0406" w:rsidRPr="00AE6DCB" w:rsidRDefault="00AA0406" w:rsidP="003A11DF">
      <w:pPr>
        <w:jc w:val="both"/>
        <w:rPr>
          <w:color w:val="0000FF"/>
          <w:sz w:val="24"/>
          <w:szCs w:val="24"/>
        </w:rPr>
      </w:pPr>
    </w:p>
    <w:p w:rsidR="00AA0406" w:rsidRPr="00AE6DCB" w:rsidRDefault="00BE1E63" w:rsidP="003A11DF">
      <w:pPr>
        <w:jc w:val="both"/>
        <w:rPr>
          <w:sz w:val="24"/>
          <w:szCs w:val="24"/>
        </w:rPr>
      </w:pPr>
      <w:r>
        <w:rPr>
          <w:noProof/>
          <w:sz w:val="24"/>
          <w:szCs w:val="24"/>
        </w:rPr>
        <w:pict>
          <v:shape id="desk1" o:spid="_x0000_s1032" style="position:absolute;left:0;text-align:left;margin-left:155.3pt;margin-top:59.75pt;width:204.65pt;height:36pt;z-index:251660288" coordsize="21600,21600" o:spt="100" adj="-11796480,,5400" path="m,l21600,r,21600l,21600,,xe" fillcolor="silver">
            <v:stroke joinstyle="miter"/>
            <v:shadow on="t" offset="6pt,6pt"/>
            <v:formulas/>
            <v:path o:connecttype="custom" o:connectlocs="0,0;21600,0;21600,21600;0,21600;10800,0;21600,10800;10800,21600;0,10800" textboxrect="1000,1000,20600,20600"/>
            <o:lock v:ext="edit" verticies="t"/>
            <v:textbox style="mso-next-textbox:#desk1">
              <w:txbxContent>
                <w:p w:rsidR="00AA0406" w:rsidRDefault="002929A8" w:rsidP="008A3D22">
                  <w:pPr>
                    <w:jc w:val="center"/>
                    <w:rPr>
                      <w:sz w:val="44"/>
                      <w:szCs w:val="44"/>
                      <w:lang w:val="fr-BE"/>
                    </w:rPr>
                  </w:pPr>
                  <w:r>
                    <w:rPr>
                      <w:sz w:val="44"/>
                      <w:szCs w:val="44"/>
                      <w:lang w:val="fr-BE"/>
                    </w:rPr>
                    <w:t>JUIN</w:t>
                  </w:r>
                  <w:r w:rsidR="00AA0406">
                    <w:rPr>
                      <w:sz w:val="44"/>
                      <w:szCs w:val="44"/>
                      <w:lang w:val="fr-BE"/>
                    </w:rPr>
                    <w:t xml:space="preserve"> 2013</w:t>
                  </w:r>
                </w:p>
                <w:p w:rsidR="00AA0406" w:rsidRDefault="00AA0406" w:rsidP="008A3D22">
                  <w:pPr>
                    <w:jc w:val="center"/>
                    <w:rPr>
                      <w:sz w:val="44"/>
                      <w:szCs w:val="44"/>
                      <w:lang w:val="fr-BE"/>
                    </w:rPr>
                  </w:pPr>
                </w:p>
                <w:p w:rsidR="00AA0406" w:rsidRDefault="00AA0406" w:rsidP="008A3D22">
                  <w:pPr>
                    <w:jc w:val="center"/>
                    <w:rPr>
                      <w:sz w:val="44"/>
                      <w:szCs w:val="44"/>
                      <w:lang w:val="fr-BE"/>
                    </w:rPr>
                  </w:pPr>
                  <w:r>
                    <w:rPr>
                      <w:sz w:val="44"/>
                      <w:szCs w:val="44"/>
                      <w:lang w:val="fr-BE"/>
                    </w:rPr>
                    <w:t>2011</w:t>
                  </w:r>
                </w:p>
                <w:p w:rsidR="00AA0406" w:rsidRDefault="00AA0406" w:rsidP="008A3D22">
                  <w:pPr>
                    <w:jc w:val="center"/>
                    <w:rPr>
                      <w:sz w:val="44"/>
                      <w:szCs w:val="44"/>
                      <w:lang w:val="fr-BE"/>
                    </w:rPr>
                  </w:pPr>
                  <w:r>
                    <w:rPr>
                      <w:sz w:val="44"/>
                      <w:szCs w:val="44"/>
                      <w:lang w:val="fr-BE"/>
                    </w:rPr>
                    <w:t>2011</w:t>
                  </w:r>
                </w:p>
                <w:p w:rsidR="00AA0406" w:rsidRDefault="00AA0406" w:rsidP="008A3D22">
                  <w:pPr>
                    <w:jc w:val="center"/>
                    <w:rPr>
                      <w:sz w:val="44"/>
                      <w:szCs w:val="44"/>
                      <w:lang w:val="fr-BE"/>
                    </w:rPr>
                  </w:pPr>
                  <w:r>
                    <w:rPr>
                      <w:sz w:val="44"/>
                      <w:szCs w:val="44"/>
                      <w:lang w:val="fr-BE"/>
                    </w:rPr>
                    <w:t>2011</w:t>
                  </w:r>
                </w:p>
                <w:p w:rsidR="00AA0406" w:rsidRDefault="00AA0406" w:rsidP="008A3D22">
                  <w:pPr>
                    <w:jc w:val="center"/>
                    <w:rPr>
                      <w:sz w:val="44"/>
                      <w:szCs w:val="44"/>
                      <w:lang w:val="fr-BE"/>
                    </w:rPr>
                  </w:pPr>
                </w:p>
                <w:p w:rsidR="00AA0406" w:rsidRDefault="00AA0406" w:rsidP="008A3D22">
                  <w:pPr>
                    <w:jc w:val="center"/>
                    <w:rPr>
                      <w:sz w:val="44"/>
                      <w:szCs w:val="44"/>
                      <w:lang w:val="fr-BE"/>
                    </w:rPr>
                  </w:pPr>
                  <w:r>
                    <w:rPr>
                      <w:sz w:val="44"/>
                      <w:szCs w:val="44"/>
                      <w:lang w:val="fr-BE"/>
                    </w:rPr>
                    <w:t>2010</w:t>
                  </w:r>
                </w:p>
                <w:p w:rsidR="00AA0406" w:rsidRPr="007B139A" w:rsidRDefault="00AA0406" w:rsidP="008A3D22">
                  <w:pPr>
                    <w:jc w:val="center"/>
                    <w:rPr>
                      <w:sz w:val="44"/>
                      <w:szCs w:val="44"/>
                      <w:lang w:val="fr-BE"/>
                    </w:rPr>
                  </w:pPr>
                </w:p>
              </w:txbxContent>
            </v:textbox>
            <w10:wrap side="left"/>
            <w10:anchorlock/>
          </v:shape>
        </w:pict>
      </w:r>
    </w:p>
    <w:p w:rsidR="00487B57" w:rsidRPr="00AE6DCB" w:rsidRDefault="00487B57" w:rsidP="003A11DF">
      <w:pPr>
        <w:jc w:val="both"/>
        <w:rPr>
          <w:rFonts w:cs="Arial"/>
          <w:b/>
          <w:bCs/>
          <w:color w:val="0070C0"/>
          <w:sz w:val="24"/>
          <w:szCs w:val="24"/>
        </w:rPr>
      </w:pPr>
    </w:p>
    <w:p w:rsidR="00893847" w:rsidRDefault="00893847" w:rsidP="003A11DF">
      <w:pPr>
        <w:jc w:val="both"/>
        <w:rPr>
          <w:rFonts w:cs="Arial"/>
          <w:b/>
          <w:bCs/>
          <w:color w:val="0070C0"/>
          <w:sz w:val="24"/>
          <w:szCs w:val="24"/>
        </w:rPr>
      </w:pPr>
    </w:p>
    <w:p w:rsidR="00893847" w:rsidRDefault="00893847" w:rsidP="003A11DF">
      <w:pPr>
        <w:jc w:val="both"/>
        <w:rPr>
          <w:rFonts w:cs="Arial"/>
          <w:b/>
          <w:bCs/>
          <w:color w:val="0070C0"/>
          <w:sz w:val="24"/>
          <w:szCs w:val="24"/>
        </w:rPr>
      </w:pPr>
    </w:p>
    <w:p w:rsidR="00487B57" w:rsidRPr="00893847" w:rsidRDefault="00487B57" w:rsidP="003A11DF">
      <w:pPr>
        <w:jc w:val="both"/>
        <w:rPr>
          <w:rFonts w:cs="Arial Narrow"/>
          <w:b/>
          <w:bCs/>
          <w:color w:val="000000"/>
          <w:sz w:val="18"/>
          <w:szCs w:val="18"/>
        </w:rPr>
      </w:pPr>
      <w:r w:rsidRPr="00893847">
        <w:rPr>
          <w:rFonts w:cs="Tahoma"/>
          <w:b/>
          <w:bCs/>
          <w:color w:val="000000"/>
          <w:sz w:val="18"/>
          <w:szCs w:val="18"/>
        </w:rPr>
        <w:t>B</w:t>
      </w:r>
      <w:r w:rsidRPr="00893847">
        <w:rPr>
          <w:rFonts w:cs="Arial Narrow"/>
          <w:b/>
          <w:bCs/>
          <w:color w:val="000000"/>
          <w:sz w:val="18"/>
          <w:szCs w:val="18"/>
        </w:rPr>
        <w:t xml:space="preserve">.P. 705 BUJUMBURA   Tél: (257) 22 20 40 00  Fax : (257) 22 </w:t>
      </w:r>
      <w:proofErr w:type="spellStart"/>
      <w:r w:rsidRPr="00893847">
        <w:rPr>
          <w:rFonts w:cs="Arial Narrow"/>
          <w:b/>
          <w:bCs/>
          <w:color w:val="000000"/>
          <w:sz w:val="18"/>
          <w:szCs w:val="18"/>
        </w:rPr>
        <w:t>22</w:t>
      </w:r>
      <w:proofErr w:type="spellEnd"/>
      <w:r w:rsidRPr="00893847">
        <w:rPr>
          <w:rFonts w:cs="Arial Narrow"/>
          <w:b/>
          <w:bCs/>
          <w:color w:val="000000"/>
          <w:sz w:val="18"/>
          <w:szCs w:val="18"/>
        </w:rPr>
        <w:t xml:space="preserve"> 31 28 - E-mail </w:t>
      </w:r>
      <w:r w:rsidRPr="00893847">
        <w:rPr>
          <w:rFonts w:cs="Arial Narrow"/>
          <w:color w:val="000000"/>
          <w:sz w:val="18"/>
          <w:szCs w:val="18"/>
        </w:rPr>
        <w:t xml:space="preserve">: </w:t>
      </w:r>
      <w:hyperlink r:id="rId9" w:history="1">
        <w:r w:rsidRPr="00893847">
          <w:rPr>
            <w:rStyle w:val="Lienhypertexte"/>
            <w:rFonts w:cs="Arial Narrow"/>
            <w:b/>
            <w:bCs/>
            <w:sz w:val="18"/>
            <w:szCs w:val="18"/>
          </w:rPr>
          <w:t>brb@brb.bi</w:t>
        </w:r>
      </w:hyperlink>
      <w:r w:rsidR="00893847" w:rsidRPr="00893847">
        <w:rPr>
          <w:rFonts w:cs="Arial Narrow"/>
          <w:b/>
          <w:bCs/>
          <w:color w:val="000000"/>
          <w:sz w:val="18"/>
          <w:szCs w:val="18"/>
        </w:rPr>
        <w:t xml:space="preserve">  </w:t>
      </w:r>
      <w:r w:rsidRPr="00893847">
        <w:rPr>
          <w:rFonts w:cs="Arial Narrow"/>
          <w:b/>
          <w:bCs/>
          <w:color w:val="000000"/>
          <w:sz w:val="18"/>
          <w:szCs w:val="18"/>
        </w:rPr>
        <w:t xml:space="preserve">- Site Web : </w:t>
      </w:r>
      <w:r w:rsidRPr="00893847">
        <w:rPr>
          <w:rFonts w:cs="Arial Narrow"/>
          <w:b/>
          <w:bCs/>
          <w:color w:val="0000FF"/>
          <w:sz w:val="18"/>
          <w:szCs w:val="18"/>
        </w:rPr>
        <w:t>www.brb.bi</w:t>
      </w:r>
    </w:p>
    <w:p w:rsidR="00487B57" w:rsidRPr="00AE6DCB" w:rsidRDefault="00487B57" w:rsidP="003A11DF">
      <w:pPr>
        <w:jc w:val="both"/>
        <w:rPr>
          <w:rFonts w:cs="Arial"/>
          <w:b/>
          <w:bCs/>
          <w:color w:val="0070C0"/>
          <w:sz w:val="24"/>
          <w:szCs w:val="24"/>
        </w:rPr>
      </w:pPr>
    </w:p>
    <w:p w:rsidR="00E60ED1" w:rsidRPr="00AE6DCB" w:rsidRDefault="00E60ED1" w:rsidP="003A11DF">
      <w:pPr>
        <w:jc w:val="both"/>
        <w:rPr>
          <w:rFonts w:cs="Arial"/>
          <w:b/>
          <w:bCs/>
          <w:color w:val="0070C0"/>
          <w:sz w:val="24"/>
          <w:szCs w:val="24"/>
        </w:rPr>
      </w:pPr>
      <w:r w:rsidRPr="00AE6DCB">
        <w:rPr>
          <w:rFonts w:cs="Arial"/>
          <w:b/>
          <w:bCs/>
          <w:color w:val="0070C0"/>
          <w:sz w:val="24"/>
          <w:szCs w:val="24"/>
        </w:rPr>
        <w:lastRenderedPageBreak/>
        <w:t>TABLE DES MATIERES</w:t>
      </w:r>
    </w:p>
    <w:sdt>
      <w:sdtPr>
        <w:rPr>
          <w:rFonts w:cstheme="minorBidi"/>
          <w:b w:val="0"/>
          <w:noProof w:val="0"/>
          <w:sz w:val="24"/>
          <w:szCs w:val="24"/>
        </w:rPr>
        <w:id w:val="19388903"/>
        <w:docPartObj>
          <w:docPartGallery w:val="Table of Contents"/>
          <w:docPartUnique/>
        </w:docPartObj>
      </w:sdtPr>
      <w:sdtContent>
        <w:p w:rsidR="0054189F" w:rsidRDefault="00BE1E63">
          <w:pPr>
            <w:pStyle w:val="TM1"/>
            <w:rPr>
              <w:rFonts w:eastAsiaTheme="minorEastAsia" w:cstheme="minorBidi"/>
              <w:b w:val="0"/>
              <w:lang w:eastAsia="fr-FR"/>
            </w:rPr>
          </w:pPr>
          <w:r w:rsidRPr="00BE1E63">
            <w:rPr>
              <w:sz w:val="24"/>
              <w:szCs w:val="24"/>
            </w:rPr>
            <w:fldChar w:fldCharType="begin"/>
          </w:r>
          <w:r w:rsidR="00E60ED1" w:rsidRPr="00AE6DCB">
            <w:rPr>
              <w:sz w:val="24"/>
              <w:szCs w:val="24"/>
            </w:rPr>
            <w:instrText xml:space="preserve"> TOC \o "1-3" \h \z \u </w:instrText>
          </w:r>
          <w:r w:rsidRPr="00BE1E63">
            <w:rPr>
              <w:sz w:val="24"/>
              <w:szCs w:val="24"/>
            </w:rPr>
            <w:fldChar w:fldCharType="separate"/>
          </w:r>
          <w:hyperlink w:anchor="_Toc364839940" w:history="1">
            <w:r w:rsidR="0054189F" w:rsidRPr="00F96AAA">
              <w:rPr>
                <w:rStyle w:val="Lienhypertexte"/>
                <w:rFonts w:eastAsia="Times New Roman" w:cs="Arial"/>
              </w:rPr>
              <w:t>I. INTRODUCTION</w:t>
            </w:r>
            <w:r w:rsidR="0054189F">
              <w:rPr>
                <w:webHidden/>
              </w:rPr>
              <w:tab/>
            </w:r>
            <w:r>
              <w:rPr>
                <w:webHidden/>
              </w:rPr>
              <w:fldChar w:fldCharType="begin"/>
            </w:r>
            <w:r w:rsidR="0054189F">
              <w:rPr>
                <w:webHidden/>
              </w:rPr>
              <w:instrText xml:space="preserve"> PAGEREF _Toc364839940 \h </w:instrText>
            </w:r>
            <w:r>
              <w:rPr>
                <w:webHidden/>
              </w:rPr>
            </w:r>
            <w:r>
              <w:rPr>
                <w:webHidden/>
              </w:rPr>
              <w:fldChar w:fldCharType="separate"/>
            </w:r>
            <w:r w:rsidR="00686A01">
              <w:rPr>
                <w:webHidden/>
              </w:rPr>
              <w:t>1</w:t>
            </w:r>
            <w:r>
              <w:rPr>
                <w:webHidden/>
              </w:rPr>
              <w:fldChar w:fldCharType="end"/>
            </w:r>
          </w:hyperlink>
        </w:p>
        <w:p w:rsidR="0054189F" w:rsidRDefault="00BE1E63">
          <w:pPr>
            <w:pStyle w:val="TM3"/>
            <w:tabs>
              <w:tab w:val="right" w:leader="dot" w:pos="9062"/>
            </w:tabs>
            <w:rPr>
              <w:rFonts w:eastAsiaTheme="minorEastAsia"/>
              <w:noProof/>
              <w:lang w:eastAsia="fr-FR"/>
            </w:rPr>
          </w:pPr>
          <w:hyperlink w:anchor="_Toc364839941" w:history="1">
            <w:r w:rsidR="0054189F" w:rsidRPr="00F96AAA">
              <w:rPr>
                <w:rStyle w:val="Lienhypertexte"/>
                <w:rFonts w:eastAsia="Times New Roman" w:cs="Times New Roman"/>
                <w:noProof/>
              </w:rPr>
              <w:t>Café</w:t>
            </w:r>
            <w:r w:rsidR="0054189F">
              <w:rPr>
                <w:noProof/>
                <w:webHidden/>
              </w:rPr>
              <w:tab/>
            </w:r>
            <w:r>
              <w:rPr>
                <w:noProof/>
                <w:webHidden/>
              </w:rPr>
              <w:fldChar w:fldCharType="begin"/>
            </w:r>
            <w:r w:rsidR="0054189F">
              <w:rPr>
                <w:noProof/>
                <w:webHidden/>
              </w:rPr>
              <w:instrText xml:space="preserve"> PAGEREF _Toc364839941 \h </w:instrText>
            </w:r>
            <w:r>
              <w:rPr>
                <w:noProof/>
                <w:webHidden/>
              </w:rPr>
            </w:r>
            <w:r>
              <w:rPr>
                <w:noProof/>
                <w:webHidden/>
              </w:rPr>
              <w:fldChar w:fldCharType="separate"/>
            </w:r>
            <w:r w:rsidR="00686A01">
              <w:rPr>
                <w:noProof/>
                <w:webHidden/>
              </w:rPr>
              <w:t>1</w:t>
            </w:r>
            <w:r>
              <w:rPr>
                <w:noProof/>
                <w:webHidden/>
              </w:rPr>
              <w:fldChar w:fldCharType="end"/>
            </w:r>
          </w:hyperlink>
        </w:p>
        <w:p w:rsidR="0054189F" w:rsidRDefault="00BE1E63">
          <w:pPr>
            <w:pStyle w:val="TM3"/>
            <w:tabs>
              <w:tab w:val="right" w:leader="dot" w:pos="9062"/>
            </w:tabs>
            <w:rPr>
              <w:rFonts w:eastAsiaTheme="minorEastAsia"/>
              <w:noProof/>
              <w:lang w:eastAsia="fr-FR"/>
            </w:rPr>
          </w:pPr>
          <w:hyperlink w:anchor="_Toc364839942" w:history="1">
            <w:r w:rsidR="0054189F" w:rsidRPr="00F96AAA">
              <w:rPr>
                <w:rStyle w:val="Lienhypertexte"/>
                <w:rFonts w:eastAsia="Times New Roman" w:cs="Times New Roman"/>
                <w:noProof/>
              </w:rPr>
              <w:t>Thé</w:t>
            </w:r>
            <w:r w:rsidR="0054189F">
              <w:rPr>
                <w:noProof/>
                <w:webHidden/>
              </w:rPr>
              <w:tab/>
            </w:r>
            <w:r>
              <w:rPr>
                <w:noProof/>
                <w:webHidden/>
              </w:rPr>
              <w:fldChar w:fldCharType="begin"/>
            </w:r>
            <w:r w:rsidR="0054189F">
              <w:rPr>
                <w:noProof/>
                <w:webHidden/>
              </w:rPr>
              <w:instrText xml:space="preserve"> PAGEREF _Toc364839942 \h </w:instrText>
            </w:r>
            <w:r>
              <w:rPr>
                <w:noProof/>
                <w:webHidden/>
              </w:rPr>
            </w:r>
            <w:r>
              <w:rPr>
                <w:noProof/>
                <w:webHidden/>
              </w:rPr>
              <w:fldChar w:fldCharType="separate"/>
            </w:r>
            <w:r w:rsidR="00686A01">
              <w:rPr>
                <w:noProof/>
                <w:webHidden/>
              </w:rPr>
              <w:t>1</w:t>
            </w:r>
            <w:r>
              <w:rPr>
                <w:noProof/>
                <w:webHidden/>
              </w:rPr>
              <w:fldChar w:fldCharType="end"/>
            </w:r>
          </w:hyperlink>
        </w:p>
        <w:p w:rsidR="0054189F" w:rsidRDefault="00BE1E63">
          <w:pPr>
            <w:pStyle w:val="TM1"/>
            <w:rPr>
              <w:rFonts w:eastAsiaTheme="minorEastAsia" w:cstheme="minorBidi"/>
              <w:b w:val="0"/>
              <w:lang w:eastAsia="fr-FR"/>
            </w:rPr>
          </w:pPr>
          <w:hyperlink w:anchor="_Toc364839943" w:history="1">
            <w:r w:rsidR="0054189F" w:rsidRPr="00F96AAA">
              <w:rPr>
                <w:rStyle w:val="Lienhypertexte"/>
              </w:rPr>
              <w:t>IV. FINANCES PUBLIQUES</w:t>
            </w:r>
            <w:r w:rsidR="0054189F">
              <w:rPr>
                <w:webHidden/>
              </w:rPr>
              <w:tab/>
            </w:r>
            <w:r>
              <w:rPr>
                <w:webHidden/>
              </w:rPr>
              <w:fldChar w:fldCharType="begin"/>
            </w:r>
            <w:r w:rsidR="0054189F">
              <w:rPr>
                <w:webHidden/>
              </w:rPr>
              <w:instrText xml:space="preserve"> PAGEREF _Toc364839943 \h </w:instrText>
            </w:r>
            <w:r>
              <w:rPr>
                <w:webHidden/>
              </w:rPr>
            </w:r>
            <w:r>
              <w:rPr>
                <w:webHidden/>
              </w:rPr>
              <w:fldChar w:fldCharType="separate"/>
            </w:r>
            <w:r w:rsidR="00686A01">
              <w:rPr>
                <w:webHidden/>
              </w:rPr>
              <w:t>2</w:t>
            </w:r>
            <w:r>
              <w:rPr>
                <w:webHidden/>
              </w:rPr>
              <w:fldChar w:fldCharType="end"/>
            </w:r>
          </w:hyperlink>
        </w:p>
        <w:p w:rsidR="0054189F" w:rsidRDefault="00BE1E63">
          <w:pPr>
            <w:pStyle w:val="TM2"/>
            <w:tabs>
              <w:tab w:val="right" w:leader="dot" w:pos="9062"/>
            </w:tabs>
            <w:rPr>
              <w:rFonts w:eastAsiaTheme="minorEastAsia"/>
              <w:noProof/>
              <w:lang w:eastAsia="fr-FR"/>
            </w:rPr>
          </w:pPr>
          <w:hyperlink w:anchor="_Toc364839944" w:history="1">
            <w:r w:rsidR="0054189F" w:rsidRPr="00F96AAA">
              <w:rPr>
                <w:rStyle w:val="Lienhypertexte"/>
                <w:noProof/>
              </w:rPr>
              <w:t>Recettes</w:t>
            </w:r>
            <w:r w:rsidR="0054189F">
              <w:rPr>
                <w:noProof/>
                <w:webHidden/>
              </w:rPr>
              <w:tab/>
            </w:r>
            <w:r>
              <w:rPr>
                <w:noProof/>
                <w:webHidden/>
              </w:rPr>
              <w:fldChar w:fldCharType="begin"/>
            </w:r>
            <w:r w:rsidR="0054189F">
              <w:rPr>
                <w:noProof/>
                <w:webHidden/>
              </w:rPr>
              <w:instrText xml:space="preserve"> PAGEREF _Toc364839944 \h </w:instrText>
            </w:r>
            <w:r>
              <w:rPr>
                <w:noProof/>
                <w:webHidden/>
              </w:rPr>
            </w:r>
            <w:r>
              <w:rPr>
                <w:noProof/>
                <w:webHidden/>
              </w:rPr>
              <w:fldChar w:fldCharType="separate"/>
            </w:r>
            <w:r w:rsidR="00686A01">
              <w:rPr>
                <w:noProof/>
                <w:webHidden/>
              </w:rPr>
              <w:t>2</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45" w:history="1">
            <w:r w:rsidR="0054189F" w:rsidRPr="00F96AAA">
              <w:rPr>
                <w:rStyle w:val="Lienhypertexte"/>
                <w:noProof/>
              </w:rPr>
              <w:t>Dépenses</w:t>
            </w:r>
            <w:r w:rsidR="0054189F">
              <w:rPr>
                <w:noProof/>
                <w:webHidden/>
              </w:rPr>
              <w:tab/>
            </w:r>
            <w:r>
              <w:rPr>
                <w:noProof/>
                <w:webHidden/>
              </w:rPr>
              <w:fldChar w:fldCharType="begin"/>
            </w:r>
            <w:r w:rsidR="0054189F">
              <w:rPr>
                <w:noProof/>
                <w:webHidden/>
              </w:rPr>
              <w:instrText xml:space="preserve"> PAGEREF _Toc364839945 \h </w:instrText>
            </w:r>
            <w:r>
              <w:rPr>
                <w:noProof/>
                <w:webHidden/>
              </w:rPr>
            </w:r>
            <w:r>
              <w:rPr>
                <w:noProof/>
                <w:webHidden/>
              </w:rPr>
              <w:fldChar w:fldCharType="separate"/>
            </w:r>
            <w:r w:rsidR="00686A01">
              <w:rPr>
                <w:noProof/>
                <w:webHidden/>
              </w:rPr>
              <w:t>2</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46" w:history="1">
            <w:r w:rsidR="0054189F" w:rsidRPr="00F96AAA">
              <w:rPr>
                <w:rStyle w:val="Lienhypertexte"/>
                <w:noProof/>
              </w:rPr>
              <w:t>Dette publique</w:t>
            </w:r>
            <w:r w:rsidR="0054189F">
              <w:rPr>
                <w:noProof/>
                <w:webHidden/>
              </w:rPr>
              <w:tab/>
            </w:r>
            <w:r>
              <w:rPr>
                <w:noProof/>
                <w:webHidden/>
              </w:rPr>
              <w:fldChar w:fldCharType="begin"/>
            </w:r>
            <w:r w:rsidR="0054189F">
              <w:rPr>
                <w:noProof/>
                <w:webHidden/>
              </w:rPr>
              <w:instrText xml:space="preserve"> PAGEREF _Toc364839946 \h </w:instrText>
            </w:r>
            <w:r>
              <w:rPr>
                <w:noProof/>
                <w:webHidden/>
              </w:rPr>
            </w:r>
            <w:r>
              <w:rPr>
                <w:noProof/>
                <w:webHidden/>
              </w:rPr>
              <w:fldChar w:fldCharType="separate"/>
            </w:r>
            <w:r w:rsidR="00686A01">
              <w:rPr>
                <w:noProof/>
                <w:webHidden/>
              </w:rPr>
              <w:t>2</w:t>
            </w:r>
            <w:r>
              <w:rPr>
                <w:noProof/>
                <w:webHidden/>
              </w:rPr>
              <w:fldChar w:fldCharType="end"/>
            </w:r>
          </w:hyperlink>
        </w:p>
        <w:p w:rsidR="0054189F" w:rsidRDefault="00BE1E63">
          <w:pPr>
            <w:pStyle w:val="TM3"/>
            <w:tabs>
              <w:tab w:val="right" w:leader="dot" w:pos="9062"/>
            </w:tabs>
            <w:rPr>
              <w:rFonts w:eastAsiaTheme="minorEastAsia"/>
              <w:noProof/>
              <w:lang w:eastAsia="fr-FR"/>
            </w:rPr>
          </w:pPr>
          <w:hyperlink w:anchor="_Toc364839947" w:history="1">
            <w:r w:rsidR="0054189F" w:rsidRPr="00F96AAA">
              <w:rPr>
                <w:rStyle w:val="Lienhypertexte"/>
                <w:noProof/>
              </w:rPr>
              <w:t>- Dette intérieure</w:t>
            </w:r>
            <w:r w:rsidR="0054189F">
              <w:rPr>
                <w:noProof/>
                <w:webHidden/>
              </w:rPr>
              <w:tab/>
            </w:r>
            <w:r>
              <w:rPr>
                <w:noProof/>
                <w:webHidden/>
              </w:rPr>
              <w:fldChar w:fldCharType="begin"/>
            </w:r>
            <w:r w:rsidR="0054189F">
              <w:rPr>
                <w:noProof/>
                <w:webHidden/>
              </w:rPr>
              <w:instrText xml:space="preserve"> PAGEREF _Toc364839947 \h </w:instrText>
            </w:r>
            <w:r>
              <w:rPr>
                <w:noProof/>
                <w:webHidden/>
              </w:rPr>
            </w:r>
            <w:r>
              <w:rPr>
                <w:noProof/>
                <w:webHidden/>
              </w:rPr>
              <w:fldChar w:fldCharType="separate"/>
            </w:r>
            <w:r w:rsidR="00686A01">
              <w:rPr>
                <w:noProof/>
                <w:webHidden/>
              </w:rPr>
              <w:t>2</w:t>
            </w:r>
            <w:r>
              <w:rPr>
                <w:noProof/>
                <w:webHidden/>
              </w:rPr>
              <w:fldChar w:fldCharType="end"/>
            </w:r>
          </w:hyperlink>
        </w:p>
        <w:p w:rsidR="0054189F" w:rsidRDefault="00BE1E63">
          <w:pPr>
            <w:pStyle w:val="TM3"/>
            <w:tabs>
              <w:tab w:val="right" w:leader="dot" w:pos="9062"/>
            </w:tabs>
            <w:rPr>
              <w:rFonts w:eastAsiaTheme="minorEastAsia"/>
              <w:noProof/>
              <w:lang w:eastAsia="fr-FR"/>
            </w:rPr>
          </w:pPr>
          <w:hyperlink w:anchor="_Toc364839948" w:history="1">
            <w:r w:rsidR="0054189F" w:rsidRPr="00F96AAA">
              <w:rPr>
                <w:rStyle w:val="Lienhypertexte"/>
                <w:noProof/>
              </w:rPr>
              <w:t>- Dette extérieure</w:t>
            </w:r>
            <w:r w:rsidR="0054189F">
              <w:rPr>
                <w:noProof/>
                <w:webHidden/>
              </w:rPr>
              <w:tab/>
            </w:r>
            <w:r>
              <w:rPr>
                <w:noProof/>
                <w:webHidden/>
              </w:rPr>
              <w:fldChar w:fldCharType="begin"/>
            </w:r>
            <w:r w:rsidR="0054189F">
              <w:rPr>
                <w:noProof/>
                <w:webHidden/>
              </w:rPr>
              <w:instrText xml:space="preserve"> PAGEREF _Toc364839948 \h </w:instrText>
            </w:r>
            <w:r>
              <w:rPr>
                <w:noProof/>
                <w:webHidden/>
              </w:rPr>
            </w:r>
            <w:r>
              <w:rPr>
                <w:noProof/>
                <w:webHidden/>
              </w:rPr>
              <w:fldChar w:fldCharType="separate"/>
            </w:r>
            <w:r w:rsidR="00686A01">
              <w:rPr>
                <w:noProof/>
                <w:webHidden/>
              </w:rPr>
              <w:t>3</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49" w:history="1">
            <w:r w:rsidR="0054189F" w:rsidRPr="00F96AAA">
              <w:rPr>
                <w:rStyle w:val="Lienhypertexte"/>
                <w:rFonts w:cs="Times New Roman"/>
                <w:noProof/>
              </w:rPr>
              <w:t>Base monétaire</w:t>
            </w:r>
            <w:r w:rsidR="0054189F">
              <w:rPr>
                <w:noProof/>
                <w:webHidden/>
              </w:rPr>
              <w:tab/>
            </w:r>
            <w:r>
              <w:rPr>
                <w:noProof/>
                <w:webHidden/>
              </w:rPr>
              <w:fldChar w:fldCharType="begin"/>
            </w:r>
            <w:r w:rsidR="0054189F">
              <w:rPr>
                <w:noProof/>
                <w:webHidden/>
              </w:rPr>
              <w:instrText xml:space="preserve"> PAGEREF _Toc364839949 \h </w:instrText>
            </w:r>
            <w:r>
              <w:rPr>
                <w:noProof/>
                <w:webHidden/>
              </w:rPr>
            </w:r>
            <w:r>
              <w:rPr>
                <w:noProof/>
                <w:webHidden/>
              </w:rPr>
              <w:fldChar w:fldCharType="separate"/>
            </w:r>
            <w:r w:rsidR="00686A01">
              <w:rPr>
                <w:noProof/>
                <w:webHidden/>
              </w:rPr>
              <w:t>3</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0" w:history="1">
            <w:r w:rsidR="0054189F" w:rsidRPr="00F96AAA">
              <w:rPr>
                <w:rStyle w:val="Lienhypertexte"/>
                <w:rFonts w:cs="Times New Roman"/>
                <w:noProof/>
              </w:rPr>
              <w:t>Masse monétaire</w:t>
            </w:r>
            <w:r w:rsidR="0054189F">
              <w:rPr>
                <w:noProof/>
                <w:webHidden/>
              </w:rPr>
              <w:tab/>
            </w:r>
            <w:r>
              <w:rPr>
                <w:noProof/>
                <w:webHidden/>
              </w:rPr>
              <w:fldChar w:fldCharType="begin"/>
            </w:r>
            <w:r w:rsidR="0054189F">
              <w:rPr>
                <w:noProof/>
                <w:webHidden/>
              </w:rPr>
              <w:instrText xml:space="preserve"> PAGEREF _Toc364839950 \h </w:instrText>
            </w:r>
            <w:r>
              <w:rPr>
                <w:noProof/>
                <w:webHidden/>
              </w:rPr>
            </w:r>
            <w:r>
              <w:rPr>
                <w:noProof/>
                <w:webHidden/>
              </w:rPr>
              <w:fldChar w:fldCharType="separate"/>
            </w:r>
            <w:r w:rsidR="00686A01">
              <w:rPr>
                <w:noProof/>
                <w:webHidden/>
              </w:rPr>
              <w:t>3</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1" w:history="1">
            <w:r w:rsidR="0054189F" w:rsidRPr="00F96AAA">
              <w:rPr>
                <w:rStyle w:val="Lienhypertexte"/>
                <w:rFonts w:cs="Times New Roman"/>
                <w:noProof/>
              </w:rPr>
              <w:t>Contreparties</w:t>
            </w:r>
            <w:r w:rsidR="0054189F">
              <w:rPr>
                <w:noProof/>
                <w:webHidden/>
              </w:rPr>
              <w:tab/>
            </w:r>
            <w:r>
              <w:rPr>
                <w:noProof/>
                <w:webHidden/>
              </w:rPr>
              <w:fldChar w:fldCharType="begin"/>
            </w:r>
            <w:r w:rsidR="0054189F">
              <w:rPr>
                <w:noProof/>
                <w:webHidden/>
              </w:rPr>
              <w:instrText xml:space="preserve"> PAGEREF _Toc364839951 \h </w:instrText>
            </w:r>
            <w:r>
              <w:rPr>
                <w:noProof/>
                <w:webHidden/>
              </w:rPr>
            </w:r>
            <w:r>
              <w:rPr>
                <w:noProof/>
                <w:webHidden/>
              </w:rPr>
              <w:fldChar w:fldCharType="separate"/>
            </w:r>
            <w:r w:rsidR="00686A01">
              <w:rPr>
                <w:noProof/>
                <w:webHidden/>
              </w:rPr>
              <w:t>4</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2" w:history="1">
            <w:r w:rsidR="0054189F" w:rsidRPr="00F96AAA">
              <w:rPr>
                <w:rStyle w:val="Lienhypertexte"/>
                <w:noProof/>
                <w:lang w:val="fr-BE"/>
              </w:rPr>
              <w:t>Exportations</w:t>
            </w:r>
            <w:r w:rsidR="0054189F">
              <w:rPr>
                <w:noProof/>
                <w:webHidden/>
              </w:rPr>
              <w:tab/>
            </w:r>
            <w:r>
              <w:rPr>
                <w:noProof/>
                <w:webHidden/>
              </w:rPr>
              <w:fldChar w:fldCharType="begin"/>
            </w:r>
            <w:r w:rsidR="0054189F">
              <w:rPr>
                <w:noProof/>
                <w:webHidden/>
              </w:rPr>
              <w:instrText xml:space="preserve"> PAGEREF _Toc364839952 \h </w:instrText>
            </w:r>
            <w:r>
              <w:rPr>
                <w:noProof/>
                <w:webHidden/>
              </w:rPr>
            </w:r>
            <w:r>
              <w:rPr>
                <w:noProof/>
                <w:webHidden/>
              </w:rPr>
              <w:fldChar w:fldCharType="separate"/>
            </w:r>
            <w:r w:rsidR="00686A01">
              <w:rPr>
                <w:noProof/>
                <w:webHidden/>
              </w:rPr>
              <w:t>4</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3" w:history="1">
            <w:r w:rsidR="0054189F" w:rsidRPr="00F96AAA">
              <w:rPr>
                <w:rStyle w:val="Lienhypertexte"/>
                <w:noProof/>
                <w:lang w:val="fr-BE"/>
              </w:rPr>
              <w:t>Importations</w:t>
            </w:r>
            <w:r w:rsidR="0054189F">
              <w:rPr>
                <w:noProof/>
                <w:webHidden/>
              </w:rPr>
              <w:tab/>
            </w:r>
            <w:r>
              <w:rPr>
                <w:noProof/>
                <w:webHidden/>
              </w:rPr>
              <w:fldChar w:fldCharType="begin"/>
            </w:r>
            <w:r w:rsidR="0054189F">
              <w:rPr>
                <w:noProof/>
                <w:webHidden/>
              </w:rPr>
              <w:instrText xml:space="preserve"> PAGEREF _Toc364839953 \h </w:instrText>
            </w:r>
            <w:r>
              <w:rPr>
                <w:noProof/>
                <w:webHidden/>
              </w:rPr>
            </w:r>
            <w:r>
              <w:rPr>
                <w:noProof/>
                <w:webHidden/>
              </w:rPr>
              <w:fldChar w:fldCharType="separate"/>
            </w:r>
            <w:r w:rsidR="00686A01">
              <w:rPr>
                <w:noProof/>
                <w:webHidden/>
              </w:rPr>
              <w:t>5</w:t>
            </w:r>
            <w:r>
              <w:rPr>
                <w:noProof/>
                <w:webHidden/>
              </w:rPr>
              <w:fldChar w:fldCharType="end"/>
            </w:r>
          </w:hyperlink>
        </w:p>
        <w:p w:rsidR="0054189F" w:rsidRDefault="00BE1E63">
          <w:pPr>
            <w:pStyle w:val="TM1"/>
            <w:rPr>
              <w:rFonts w:eastAsiaTheme="minorEastAsia" w:cstheme="minorBidi"/>
              <w:b w:val="0"/>
              <w:lang w:eastAsia="fr-FR"/>
            </w:rPr>
          </w:pPr>
          <w:hyperlink w:anchor="_Toc364839954" w:history="1">
            <w:r w:rsidR="0054189F" w:rsidRPr="00F96AAA">
              <w:rPr>
                <w:rStyle w:val="Lienhypertexte"/>
                <w:rFonts w:cs="Times New Roman"/>
              </w:rPr>
              <w:t>VIII. PRINCIPAUX INDICATEURS D’ACTIVITE DU SECTEUR BANCAIRE</w:t>
            </w:r>
            <w:r w:rsidR="0054189F">
              <w:rPr>
                <w:webHidden/>
              </w:rPr>
              <w:tab/>
            </w:r>
            <w:r>
              <w:rPr>
                <w:webHidden/>
              </w:rPr>
              <w:fldChar w:fldCharType="begin"/>
            </w:r>
            <w:r w:rsidR="0054189F">
              <w:rPr>
                <w:webHidden/>
              </w:rPr>
              <w:instrText xml:space="preserve"> PAGEREF _Toc364839954 \h </w:instrText>
            </w:r>
            <w:r>
              <w:rPr>
                <w:webHidden/>
              </w:rPr>
            </w:r>
            <w:r>
              <w:rPr>
                <w:webHidden/>
              </w:rPr>
              <w:fldChar w:fldCharType="separate"/>
            </w:r>
            <w:r w:rsidR="00686A01">
              <w:rPr>
                <w:webHidden/>
              </w:rPr>
              <w:t>6</w:t>
            </w:r>
            <w:r>
              <w:rPr>
                <w:webHidden/>
              </w:rPr>
              <w:fldChar w:fldCharType="end"/>
            </w:r>
          </w:hyperlink>
        </w:p>
        <w:p w:rsidR="0054189F" w:rsidRDefault="00BE1E63">
          <w:pPr>
            <w:pStyle w:val="TM2"/>
            <w:tabs>
              <w:tab w:val="right" w:leader="dot" w:pos="9062"/>
            </w:tabs>
            <w:rPr>
              <w:rFonts w:eastAsiaTheme="minorEastAsia"/>
              <w:noProof/>
              <w:lang w:eastAsia="fr-FR"/>
            </w:rPr>
          </w:pPr>
          <w:hyperlink w:anchor="_Toc364839955" w:history="1">
            <w:r w:rsidR="0054189F" w:rsidRPr="00F96AAA">
              <w:rPr>
                <w:rStyle w:val="Lienhypertexte"/>
                <w:noProof/>
              </w:rPr>
              <w:t>Principaux Emplois</w:t>
            </w:r>
            <w:r w:rsidR="0054189F">
              <w:rPr>
                <w:noProof/>
                <w:webHidden/>
              </w:rPr>
              <w:tab/>
            </w:r>
            <w:r>
              <w:rPr>
                <w:noProof/>
                <w:webHidden/>
              </w:rPr>
              <w:fldChar w:fldCharType="begin"/>
            </w:r>
            <w:r w:rsidR="0054189F">
              <w:rPr>
                <w:noProof/>
                <w:webHidden/>
              </w:rPr>
              <w:instrText xml:space="preserve"> PAGEREF _Toc364839955 \h </w:instrText>
            </w:r>
            <w:r>
              <w:rPr>
                <w:noProof/>
                <w:webHidden/>
              </w:rPr>
            </w:r>
            <w:r>
              <w:rPr>
                <w:noProof/>
                <w:webHidden/>
              </w:rPr>
              <w:fldChar w:fldCharType="separate"/>
            </w:r>
            <w:r w:rsidR="00686A01">
              <w:rPr>
                <w:noProof/>
                <w:webHidden/>
              </w:rPr>
              <w:t>6</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6" w:history="1">
            <w:r w:rsidR="0054189F" w:rsidRPr="00F96AAA">
              <w:rPr>
                <w:rStyle w:val="Lienhypertexte"/>
                <w:noProof/>
              </w:rPr>
              <w:t>Principales Ressources</w:t>
            </w:r>
            <w:r w:rsidR="0054189F">
              <w:rPr>
                <w:noProof/>
                <w:webHidden/>
              </w:rPr>
              <w:tab/>
            </w:r>
            <w:r>
              <w:rPr>
                <w:noProof/>
                <w:webHidden/>
              </w:rPr>
              <w:fldChar w:fldCharType="begin"/>
            </w:r>
            <w:r w:rsidR="0054189F">
              <w:rPr>
                <w:noProof/>
                <w:webHidden/>
              </w:rPr>
              <w:instrText xml:space="preserve"> PAGEREF _Toc364839956 \h </w:instrText>
            </w:r>
            <w:r>
              <w:rPr>
                <w:noProof/>
                <w:webHidden/>
              </w:rPr>
            </w:r>
            <w:r>
              <w:rPr>
                <w:noProof/>
                <w:webHidden/>
              </w:rPr>
              <w:fldChar w:fldCharType="separate"/>
            </w:r>
            <w:r w:rsidR="00686A01">
              <w:rPr>
                <w:noProof/>
                <w:webHidden/>
              </w:rPr>
              <w:t>6</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7" w:history="1">
            <w:r w:rsidR="0054189F" w:rsidRPr="00F96AAA">
              <w:rPr>
                <w:rStyle w:val="Lienhypertexte"/>
                <w:noProof/>
              </w:rPr>
              <w:t>Créances compromises</w:t>
            </w:r>
            <w:r w:rsidR="0054189F">
              <w:rPr>
                <w:noProof/>
                <w:webHidden/>
              </w:rPr>
              <w:tab/>
            </w:r>
            <w:r>
              <w:rPr>
                <w:noProof/>
                <w:webHidden/>
              </w:rPr>
              <w:fldChar w:fldCharType="begin"/>
            </w:r>
            <w:r w:rsidR="0054189F">
              <w:rPr>
                <w:noProof/>
                <w:webHidden/>
              </w:rPr>
              <w:instrText xml:space="preserve"> PAGEREF _Toc364839957 \h </w:instrText>
            </w:r>
            <w:r>
              <w:rPr>
                <w:noProof/>
                <w:webHidden/>
              </w:rPr>
            </w:r>
            <w:r>
              <w:rPr>
                <w:noProof/>
                <w:webHidden/>
              </w:rPr>
              <w:fldChar w:fldCharType="separate"/>
            </w:r>
            <w:r w:rsidR="00686A01">
              <w:rPr>
                <w:noProof/>
                <w:webHidden/>
              </w:rPr>
              <w:t>6</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8" w:history="1">
            <w:r w:rsidR="0054189F" w:rsidRPr="00F96AAA">
              <w:rPr>
                <w:rStyle w:val="Lienhypertexte"/>
                <w:noProof/>
              </w:rPr>
              <w:t>Résultat</w:t>
            </w:r>
            <w:r w:rsidR="0054189F">
              <w:rPr>
                <w:noProof/>
                <w:webHidden/>
              </w:rPr>
              <w:tab/>
            </w:r>
            <w:r>
              <w:rPr>
                <w:noProof/>
                <w:webHidden/>
              </w:rPr>
              <w:fldChar w:fldCharType="begin"/>
            </w:r>
            <w:r w:rsidR="0054189F">
              <w:rPr>
                <w:noProof/>
                <w:webHidden/>
              </w:rPr>
              <w:instrText xml:space="preserve"> PAGEREF _Toc364839958 \h </w:instrText>
            </w:r>
            <w:r>
              <w:rPr>
                <w:noProof/>
                <w:webHidden/>
              </w:rPr>
            </w:r>
            <w:r>
              <w:rPr>
                <w:noProof/>
                <w:webHidden/>
              </w:rPr>
              <w:fldChar w:fldCharType="separate"/>
            </w:r>
            <w:r w:rsidR="00686A01">
              <w:rPr>
                <w:noProof/>
                <w:webHidden/>
              </w:rPr>
              <w:t>6</w:t>
            </w:r>
            <w:r>
              <w:rPr>
                <w:noProof/>
                <w:webHidden/>
              </w:rPr>
              <w:fldChar w:fldCharType="end"/>
            </w:r>
          </w:hyperlink>
        </w:p>
        <w:p w:rsidR="0054189F" w:rsidRDefault="00BE1E63">
          <w:pPr>
            <w:pStyle w:val="TM2"/>
            <w:tabs>
              <w:tab w:val="right" w:leader="dot" w:pos="9062"/>
            </w:tabs>
            <w:rPr>
              <w:rFonts w:eastAsiaTheme="minorEastAsia"/>
              <w:noProof/>
              <w:lang w:eastAsia="fr-FR"/>
            </w:rPr>
          </w:pPr>
          <w:hyperlink w:anchor="_Toc364839959" w:history="1">
            <w:r w:rsidR="0054189F" w:rsidRPr="00F96AAA">
              <w:rPr>
                <w:rStyle w:val="Lienhypertexte"/>
                <w:noProof/>
              </w:rPr>
              <w:t>Normes prudentielles</w:t>
            </w:r>
            <w:r w:rsidR="0054189F">
              <w:rPr>
                <w:noProof/>
                <w:webHidden/>
              </w:rPr>
              <w:tab/>
            </w:r>
            <w:r>
              <w:rPr>
                <w:noProof/>
                <w:webHidden/>
              </w:rPr>
              <w:fldChar w:fldCharType="begin"/>
            </w:r>
            <w:r w:rsidR="0054189F">
              <w:rPr>
                <w:noProof/>
                <w:webHidden/>
              </w:rPr>
              <w:instrText xml:space="preserve"> PAGEREF _Toc364839959 \h </w:instrText>
            </w:r>
            <w:r>
              <w:rPr>
                <w:noProof/>
                <w:webHidden/>
              </w:rPr>
            </w:r>
            <w:r>
              <w:rPr>
                <w:noProof/>
                <w:webHidden/>
              </w:rPr>
              <w:fldChar w:fldCharType="separate"/>
            </w:r>
            <w:r w:rsidR="00686A01">
              <w:rPr>
                <w:noProof/>
                <w:webHidden/>
              </w:rPr>
              <w:t>6</w:t>
            </w:r>
            <w:r>
              <w:rPr>
                <w:noProof/>
                <w:webHidden/>
              </w:rPr>
              <w:fldChar w:fldCharType="end"/>
            </w:r>
          </w:hyperlink>
        </w:p>
        <w:p w:rsidR="0054189F" w:rsidRDefault="00BE1E63">
          <w:pPr>
            <w:pStyle w:val="TM1"/>
            <w:rPr>
              <w:rFonts w:eastAsiaTheme="minorEastAsia" w:cstheme="minorBidi"/>
              <w:b w:val="0"/>
              <w:lang w:eastAsia="fr-FR"/>
            </w:rPr>
          </w:pPr>
          <w:hyperlink w:anchor="_Toc364839960" w:history="1">
            <w:r w:rsidR="0054189F" w:rsidRPr="00F96AAA">
              <w:rPr>
                <w:rStyle w:val="Lienhypertexte"/>
                <w:rFonts w:cs="Times New Roman"/>
              </w:rPr>
              <w:t>ANNEXE 1 : PRINCIPAUX INDICATEURS MENSUELS</w:t>
            </w:r>
            <w:r w:rsidR="0054189F">
              <w:rPr>
                <w:webHidden/>
              </w:rPr>
              <w:tab/>
            </w:r>
            <w:r>
              <w:rPr>
                <w:webHidden/>
              </w:rPr>
              <w:fldChar w:fldCharType="begin"/>
            </w:r>
            <w:r w:rsidR="0054189F">
              <w:rPr>
                <w:webHidden/>
              </w:rPr>
              <w:instrText xml:space="preserve"> PAGEREF _Toc364839960 \h </w:instrText>
            </w:r>
            <w:r>
              <w:rPr>
                <w:webHidden/>
              </w:rPr>
            </w:r>
            <w:r>
              <w:rPr>
                <w:webHidden/>
              </w:rPr>
              <w:fldChar w:fldCharType="separate"/>
            </w:r>
            <w:r w:rsidR="00686A01">
              <w:rPr>
                <w:webHidden/>
              </w:rPr>
              <w:t>8</w:t>
            </w:r>
            <w:r>
              <w:rPr>
                <w:webHidden/>
              </w:rPr>
              <w:fldChar w:fldCharType="end"/>
            </w:r>
          </w:hyperlink>
        </w:p>
        <w:p w:rsidR="0054189F" w:rsidRDefault="00BE1E63">
          <w:pPr>
            <w:pStyle w:val="TM1"/>
            <w:rPr>
              <w:rFonts w:eastAsiaTheme="minorEastAsia" w:cstheme="minorBidi"/>
              <w:b w:val="0"/>
              <w:lang w:eastAsia="fr-FR"/>
            </w:rPr>
          </w:pPr>
          <w:hyperlink w:anchor="_Toc364839961" w:history="1">
            <w:r w:rsidR="0054189F" w:rsidRPr="00F96AAA">
              <w:rPr>
                <w:rStyle w:val="Lienhypertexte"/>
                <w:rFonts w:cs="Times New Roman"/>
              </w:rPr>
              <w:t>ANNEXE 2 : PRINCIPAUX INDICATEURS ANNUELS</w:t>
            </w:r>
            <w:r w:rsidR="0054189F">
              <w:rPr>
                <w:webHidden/>
              </w:rPr>
              <w:tab/>
            </w:r>
            <w:r>
              <w:rPr>
                <w:webHidden/>
              </w:rPr>
              <w:fldChar w:fldCharType="begin"/>
            </w:r>
            <w:r w:rsidR="0054189F">
              <w:rPr>
                <w:webHidden/>
              </w:rPr>
              <w:instrText xml:space="preserve"> PAGEREF _Toc364839961 \h </w:instrText>
            </w:r>
            <w:r>
              <w:rPr>
                <w:webHidden/>
              </w:rPr>
            </w:r>
            <w:r>
              <w:rPr>
                <w:webHidden/>
              </w:rPr>
              <w:fldChar w:fldCharType="separate"/>
            </w:r>
            <w:r w:rsidR="00686A01">
              <w:rPr>
                <w:webHidden/>
              </w:rPr>
              <w:t>9</w:t>
            </w:r>
            <w:r>
              <w:rPr>
                <w:webHidden/>
              </w:rPr>
              <w:fldChar w:fldCharType="end"/>
            </w:r>
          </w:hyperlink>
        </w:p>
        <w:p w:rsidR="00E60ED1" w:rsidRPr="00AE6DCB" w:rsidRDefault="00BE1E63" w:rsidP="003A11DF">
          <w:pPr>
            <w:jc w:val="both"/>
            <w:rPr>
              <w:sz w:val="24"/>
              <w:szCs w:val="24"/>
            </w:rPr>
            <w:sectPr w:rsidR="00E60ED1" w:rsidRPr="00AE6DCB" w:rsidSect="00EC7F39">
              <w:headerReference w:type="even" r:id="rId10"/>
              <w:headerReference w:type="default" r:id="rId11"/>
              <w:footerReference w:type="default" r:id="rId12"/>
              <w:pgSz w:w="11906" w:h="16838"/>
              <w:pgMar w:top="1417" w:right="1417" w:bottom="1417" w:left="1417" w:header="708" w:footer="708" w:gutter="0"/>
              <w:cols w:space="708"/>
              <w:titlePg/>
              <w:docGrid w:linePitch="360"/>
            </w:sectPr>
          </w:pPr>
          <w:r w:rsidRPr="00AE6DCB">
            <w:rPr>
              <w:sz w:val="24"/>
              <w:szCs w:val="24"/>
            </w:rPr>
            <w:fldChar w:fldCharType="end"/>
          </w:r>
        </w:p>
      </w:sdtContent>
    </w:sdt>
    <w:p w:rsidR="00442051" w:rsidRPr="00AE6DCB" w:rsidRDefault="00442051" w:rsidP="003A11DF">
      <w:pPr>
        <w:pStyle w:val="Titre1"/>
        <w:spacing w:after="120"/>
        <w:jc w:val="both"/>
        <w:rPr>
          <w:rFonts w:asciiTheme="minorHAnsi" w:eastAsia="Times New Roman" w:hAnsiTheme="minorHAnsi" w:cs="Arial"/>
          <w:bCs w:val="0"/>
          <w:color w:val="0070C0"/>
          <w:sz w:val="24"/>
          <w:szCs w:val="24"/>
        </w:rPr>
      </w:pPr>
      <w:bookmarkStart w:id="1" w:name="_Toc362356413"/>
      <w:bookmarkStart w:id="2" w:name="_Toc362356467"/>
      <w:bookmarkStart w:id="3" w:name="_Toc364839940"/>
      <w:r w:rsidRPr="00AE6DCB">
        <w:rPr>
          <w:rFonts w:asciiTheme="minorHAnsi" w:eastAsia="Times New Roman" w:hAnsiTheme="minorHAnsi" w:cs="Arial"/>
          <w:bCs w:val="0"/>
          <w:color w:val="0070C0"/>
          <w:sz w:val="24"/>
          <w:szCs w:val="24"/>
        </w:rPr>
        <w:lastRenderedPageBreak/>
        <w:t>I. INTRODUCTION</w:t>
      </w:r>
      <w:bookmarkEnd w:id="1"/>
      <w:bookmarkEnd w:id="2"/>
      <w:bookmarkEnd w:id="3"/>
    </w:p>
    <w:p w:rsidR="00893847" w:rsidRDefault="002929A8" w:rsidP="00F10DA0">
      <w:pPr>
        <w:widowControl w:val="0"/>
        <w:autoSpaceDE w:val="0"/>
        <w:autoSpaceDN w:val="0"/>
        <w:adjustRightInd w:val="0"/>
        <w:jc w:val="both"/>
        <w:rPr>
          <w:sz w:val="24"/>
          <w:szCs w:val="24"/>
        </w:rPr>
      </w:pPr>
      <w:bookmarkStart w:id="4" w:name="_Toc362356414"/>
      <w:r w:rsidRPr="00AE6DCB">
        <w:rPr>
          <w:sz w:val="24"/>
          <w:szCs w:val="24"/>
        </w:rPr>
        <w:t>Le commentaire sur les principaux indicateurs économiques porte sur l’évolution, à fin juin 2013, de la production industrielle, du café, du thé et la situation des finances publiques en ce qui concerne les recettes, les dépenses et la dette publique extérieure et intérieure. Il aborde aussi l’évolution de la masse monétaire et de ses contreparties, les exportations, les importations, l’indice des prix à la consommation et le taux de change.</w:t>
      </w:r>
    </w:p>
    <w:p w:rsidR="00F10DA0" w:rsidRDefault="00442051" w:rsidP="00F10DA0">
      <w:pPr>
        <w:pStyle w:val="Titre"/>
        <w:jc w:val="left"/>
        <w:rPr>
          <w:color w:val="0070C0"/>
          <w:sz w:val="24"/>
          <w:u w:val="none"/>
        </w:rPr>
      </w:pPr>
      <w:r w:rsidRPr="00F10DA0">
        <w:rPr>
          <w:color w:val="0070C0"/>
          <w:sz w:val="24"/>
          <w:u w:val="none"/>
        </w:rPr>
        <w:t>II. PRODUCTION</w:t>
      </w:r>
      <w:bookmarkStart w:id="5" w:name="_Toc362356415"/>
      <w:bookmarkEnd w:id="4"/>
    </w:p>
    <w:p w:rsidR="00F10DA0" w:rsidRPr="00F10DA0" w:rsidRDefault="00F10DA0" w:rsidP="00F10DA0">
      <w:pPr>
        <w:pStyle w:val="Titre"/>
        <w:jc w:val="left"/>
        <w:rPr>
          <w:color w:val="0070C0"/>
          <w:sz w:val="24"/>
          <w:u w:val="none"/>
        </w:rPr>
      </w:pPr>
    </w:p>
    <w:p w:rsidR="00442051" w:rsidRPr="00F10DA0" w:rsidRDefault="00442051" w:rsidP="00F10DA0">
      <w:pPr>
        <w:pStyle w:val="Titre"/>
        <w:spacing w:line="276" w:lineRule="auto"/>
        <w:jc w:val="left"/>
        <w:rPr>
          <w:color w:val="0070C0"/>
          <w:sz w:val="24"/>
          <w:u w:val="none"/>
        </w:rPr>
      </w:pPr>
      <w:r w:rsidRPr="00F10DA0">
        <w:rPr>
          <w:color w:val="0070C0"/>
          <w:sz w:val="24"/>
          <w:u w:val="none"/>
        </w:rPr>
        <w:t>Indice de la production industrielle</w:t>
      </w:r>
      <w:bookmarkEnd w:id="5"/>
    </w:p>
    <w:p w:rsidR="002929A8" w:rsidRPr="00AE6DCB" w:rsidRDefault="002929A8" w:rsidP="00F10DA0">
      <w:pPr>
        <w:jc w:val="both"/>
        <w:rPr>
          <w:sz w:val="24"/>
          <w:szCs w:val="24"/>
        </w:rPr>
      </w:pPr>
      <w:bookmarkStart w:id="6" w:name="_Toc362356416"/>
      <w:r w:rsidRPr="00AE6DCB">
        <w:rPr>
          <w:sz w:val="24"/>
          <w:szCs w:val="24"/>
        </w:rPr>
        <w:t xml:space="preserve">Le secteur industriel a enregistré une amélioration de l’activité par rapport au mois précédent. En effet, l’indice de la production industrielle a fortement progressé de 47,2 p.c. suite notamment à l’augmentation de la production des boissons de la BRARUDI (10,7 p.c.), de cigarettes (32,4 p.c.) et de sucre (798 p.c.). </w:t>
      </w:r>
    </w:p>
    <w:p w:rsidR="002929A8" w:rsidRPr="00AE6DCB" w:rsidRDefault="002929A8" w:rsidP="003A11DF">
      <w:pPr>
        <w:widowControl w:val="0"/>
        <w:autoSpaceDE w:val="0"/>
        <w:autoSpaceDN w:val="0"/>
        <w:adjustRightInd w:val="0"/>
        <w:jc w:val="both"/>
        <w:rPr>
          <w:sz w:val="24"/>
          <w:szCs w:val="24"/>
        </w:rPr>
      </w:pPr>
      <w:r w:rsidRPr="00AE6DCB">
        <w:rPr>
          <w:sz w:val="24"/>
          <w:szCs w:val="24"/>
        </w:rPr>
        <w:t>De même, en glissement annuel, l’indice s’est accru de 30,4 p.c. en liaison avec la hausse de la production de boissons (14,7 p.c.), de cigarettes (33,6 p.c.) et de sucre (106,9 p.c.)</w:t>
      </w:r>
    </w:p>
    <w:p w:rsidR="00442051" w:rsidRPr="008A3D22" w:rsidRDefault="00442051" w:rsidP="008A3D22">
      <w:pPr>
        <w:pStyle w:val="Titre3"/>
        <w:spacing w:after="120"/>
        <w:jc w:val="both"/>
        <w:rPr>
          <w:rFonts w:asciiTheme="minorHAnsi" w:eastAsia="Times New Roman" w:hAnsiTheme="minorHAnsi" w:cs="Times New Roman"/>
          <w:bCs w:val="0"/>
          <w:color w:val="0070C0"/>
          <w:sz w:val="24"/>
          <w:szCs w:val="24"/>
        </w:rPr>
      </w:pPr>
      <w:bookmarkStart w:id="7" w:name="_Toc364839941"/>
      <w:r w:rsidRPr="008A3D22">
        <w:rPr>
          <w:rFonts w:asciiTheme="minorHAnsi" w:eastAsia="Times New Roman" w:hAnsiTheme="minorHAnsi" w:cs="Times New Roman"/>
          <w:bCs w:val="0"/>
          <w:color w:val="0070C0"/>
          <w:sz w:val="24"/>
          <w:szCs w:val="24"/>
        </w:rPr>
        <w:t>Café</w:t>
      </w:r>
      <w:bookmarkEnd w:id="6"/>
      <w:bookmarkEnd w:id="7"/>
    </w:p>
    <w:p w:rsidR="002929A8" w:rsidRPr="00AE6DCB" w:rsidRDefault="002929A8" w:rsidP="003A11DF">
      <w:pPr>
        <w:widowControl w:val="0"/>
        <w:autoSpaceDE w:val="0"/>
        <w:autoSpaceDN w:val="0"/>
        <w:adjustRightInd w:val="0"/>
        <w:jc w:val="both"/>
        <w:rPr>
          <w:sz w:val="24"/>
          <w:szCs w:val="24"/>
        </w:rPr>
      </w:pPr>
      <w:bookmarkStart w:id="8" w:name="_Toc362356417"/>
      <w:r w:rsidRPr="00AE6DCB">
        <w:rPr>
          <w:rFonts w:cs="Calibri"/>
          <w:sz w:val="24"/>
          <w:szCs w:val="24"/>
        </w:rPr>
        <w:t xml:space="preserve">Le mois de juin 2013 n’a pas enregistré d’apports de café en </w:t>
      </w:r>
      <w:proofErr w:type="spellStart"/>
      <w:r w:rsidRPr="00AE6DCB">
        <w:rPr>
          <w:rFonts w:cs="Calibri"/>
          <w:sz w:val="24"/>
          <w:szCs w:val="24"/>
        </w:rPr>
        <w:t>parche</w:t>
      </w:r>
      <w:proofErr w:type="spellEnd"/>
      <w:r w:rsidRPr="00AE6DCB">
        <w:rPr>
          <w:rFonts w:cs="Calibri"/>
          <w:sz w:val="24"/>
          <w:szCs w:val="24"/>
        </w:rPr>
        <w:t xml:space="preserve">  en raison du début tardif de la production de café  </w:t>
      </w:r>
      <w:proofErr w:type="spellStart"/>
      <w:r w:rsidRPr="00AE6DCB">
        <w:rPr>
          <w:rFonts w:cs="Calibri"/>
          <w:sz w:val="24"/>
          <w:szCs w:val="24"/>
        </w:rPr>
        <w:t>parche</w:t>
      </w:r>
      <w:proofErr w:type="spellEnd"/>
      <w:r w:rsidRPr="00AE6DCB">
        <w:rPr>
          <w:rFonts w:cs="Calibri"/>
          <w:sz w:val="24"/>
          <w:szCs w:val="24"/>
        </w:rPr>
        <w:t xml:space="preserve"> de la campagne 2013/2014. Cette campagne connaît une faible production suite au phénomène de cyclicité du caféier. En effet, sur base des quantités de café cerise récoltées (33.186 T en juin 2013</w:t>
      </w:r>
      <w:r w:rsidR="00994369">
        <w:rPr>
          <w:rFonts w:cs="Calibri"/>
          <w:sz w:val="24"/>
          <w:szCs w:val="24"/>
        </w:rPr>
        <w:t xml:space="preserve"> </w:t>
      </w:r>
      <w:r w:rsidRPr="00AE6DCB">
        <w:rPr>
          <w:rFonts w:cs="Calibri"/>
          <w:sz w:val="24"/>
          <w:szCs w:val="24"/>
        </w:rPr>
        <w:t xml:space="preserve">contre 83.405 T en juin 2012) et des prévisions de l’ARFIC, la production de café </w:t>
      </w:r>
      <w:proofErr w:type="spellStart"/>
      <w:r w:rsidRPr="00AE6DCB">
        <w:rPr>
          <w:rFonts w:cs="Calibri"/>
          <w:sz w:val="24"/>
          <w:szCs w:val="24"/>
        </w:rPr>
        <w:lastRenderedPageBreak/>
        <w:t>parche</w:t>
      </w:r>
      <w:proofErr w:type="spellEnd"/>
      <w:r w:rsidRPr="00AE6DCB">
        <w:rPr>
          <w:rFonts w:cs="Calibri"/>
          <w:sz w:val="24"/>
          <w:szCs w:val="24"/>
        </w:rPr>
        <w:t xml:space="preserve"> de cette campagne chutera de 42,2 p.c., revenant de 30.778  à 17.780 T d’une campagne à l’autre. </w:t>
      </w:r>
    </w:p>
    <w:p w:rsidR="00442051" w:rsidRPr="00AE6DCB" w:rsidRDefault="00442051" w:rsidP="003A11DF">
      <w:pPr>
        <w:pStyle w:val="Titre3"/>
        <w:spacing w:after="120"/>
        <w:jc w:val="both"/>
        <w:rPr>
          <w:rFonts w:asciiTheme="minorHAnsi" w:eastAsia="Times New Roman" w:hAnsiTheme="minorHAnsi" w:cs="Times New Roman"/>
          <w:bCs w:val="0"/>
          <w:color w:val="0070C0"/>
          <w:sz w:val="24"/>
          <w:szCs w:val="24"/>
        </w:rPr>
      </w:pPr>
      <w:bookmarkStart w:id="9" w:name="_Toc364839942"/>
      <w:r w:rsidRPr="00AE6DCB">
        <w:rPr>
          <w:rFonts w:asciiTheme="minorHAnsi" w:eastAsia="Times New Roman" w:hAnsiTheme="minorHAnsi" w:cs="Times New Roman"/>
          <w:bCs w:val="0"/>
          <w:color w:val="0070C0"/>
          <w:sz w:val="24"/>
          <w:szCs w:val="24"/>
        </w:rPr>
        <w:t>Thé</w:t>
      </w:r>
      <w:bookmarkEnd w:id="8"/>
      <w:bookmarkEnd w:id="9"/>
    </w:p>
    <w:p w:rsidR="002929A8" w:rsidRPr="00AE6DCB" w:rsidRDefault="002929A8" w:rsidP="003A11DF">
      <w:pPr>
        <w:jc w:val="both"/>
        <w:rPr>
          <w:sz w:val="24"/>
          <w:szCs w:val="24"/>
        </w:rPr>
      </w:pPr>
      <w:bookmarkStart w:id="10" w:name="_Toc362356418"/>
      <w:r w:rsidRPr="00AE6DCB">
        <w:rPr>
          <w:sz w:val="24"/>
          <w:szCs w:val="24"/>
        </w:rPr>
        <w:t xml:space="preserve">La  récolte  de  thé  en  feuilles vertes du mois de juin 2013 a baissé de 20,1 p.c. par rapport à celle du mois précédent, revenant de </w:t>
      </w:r>
      <w:r w:rsidRPr="00AE6DCB">
        <w:rPr>
          <w:rFonts w:cs="Calibri"/>
          <w:sz w:val="24"/>
          <w:szCs w:val="24"/>
        </w:rPr>
        <w:t xml:space="preserve">4.389 </w:t>
      </w:r>
      <w:r w:rsidRPr="00AE6DCB">
        <w:rPr>
          <w:sz w:val="24"/>
          <w:szCs w:val="24"/>
        </w:rPr>
        <w:t>à 3.507 T en liaison avec la saison sèche. La production cumulée du  premier semestre 2013 a, par contre, progressé de 9,0 p.c. par rapport à la période correspondante de l’année précédente, passant de 24.876 à 27.104 T.</w:t>
      </w:r>
    </w:p>
    <w:p w:rsidR="0096134B" w:rsidRPr="00F10DA0" w:rsidRDefault="0031007E" w:rsidP="00F10DA0">
      <w:pPr>
        <w:pStyle w:val="Titre"/>
        <w:spacing w:line="276" w:lineRule="auto"/>
        <w:jc w:val="left"/>
        <w:rPr>
          <w:color w:val="0070C0"/>
          <w:sz w:val="22"/>
          <w:szCs w:val="22"/>
          <w:u w:val="none"/>
        </w:rPr>
      </w:pPr>
      <w:r w:rsidRPr="00F10DA0">
        <w:rPr>
          <w:color w:val="0070C0"/>
          <w:sz w:val="22"/>
          <w:szCs w:val="22"/>
          <w:u w:val="none"/>
        </w:rPr>
        <w:t xml:space="preserve">III. </w:t>
      </w:r>
      <w:r w:rsidR="00F10DA0" w:rsidRPr="00F10DA0">
        <w:rPr>
          <w:color w:val="0070C0"/>
          <w:sz w:val="22"/>
          <w:szCs w:val="22"/>
          <w:u w:val="none"/>
        </w:rPr>
        <w:t>INDICE DES PRIX A LA</w:t>
      </w:r>
      <w:r w:rsidRPr="00F10DA0">
        <w:rPr>
          <w:color w:val="0070C0"/>
          <w:sz w:val="22"/>
          <w:szCs w:val="22"/>
          <w:u w:val="none"/>
        </w:rPr>
        <w:t>C</w:t>
      </w:r>
      <w:r w:rsidR="0096134B" w:rsidRPr="00F10DA0">
        <w:rPr>
          <w:color w:val="0070C0"/>
          <w:sz w:val="22"/>
          <w:szCs w:val="22"/>
          <w:u w:val="none"/>
        </w:rPr>
        <w:t>ONSOMMATION</w:t>
      </w:r>
      <w:bookmarkEnd w:id="10"/>
    </w:p>
    <w:p w:rsidR="002929A8" w:rsidRPr="00AE6DCB" w:rsidRDefault="002929A8" w:rsidP="00F10DA0">
      <w:pPr>
        <w:jc w:val="both"/>
        <w:rPr>
          <w:sz w:val="24"/>
          <w:szCs w:val="24"/>
        </w:rPr>
      </w:pPr>
      <w:bookmarkStart w:id="11" w:name="_Toc362356419"/>
      <w:r w:rsidRPr="00AE6DCB">
        <w:rPr>
          <w:sz w:val="24"/>
          <w:szCs w:val="24"/>
        </w:rPr>
        <w:t xml:space="preserve">En glissement annuel, le taux d’inflation du mois </w:t>
      </w:r>
      <w:r w:rsidR="00245DC7">
        <w:rPr>
          <w:sz w:val="24"/>
          <w:szCs w:val="24"/>
        </w:rPr>
        <w:t xml:space="preserve">de </w:t>
      </w:r>
      <w:r w:rsidRPr="00AE6DCB">
        <w:rPr>
          <w:sz w:val="24"/>
          <w:szCs w:val="24"/>
        </w:rPr>
        <w:t>juin 2013 est de 11,4 p.c., l’indice général des prix à la consommation s’étant fixé à 1.251,4 contre 1.123,8 au même mois de l’exercice précédent. Le relèvement de l’indice général est induit par l’augmentation des prix du secteur « Alimentation » (14,4 p.c.) et  « Hors alimentation » (7,8 p.c.).</w:t>
      </w:r>
    </w:p>
    <w:p w:rsidR="002929A8" w:rsidRPr="00AE6DCB" w:rsidRDefault="002929A8" w:rsidP="003A11DF">
      <w:pPr>
        <w:jc w:val="both"/>
        <w:rPr>
          <w:sz w:val="24"/>
          <w:szCs w:val="24"/>
        </w:rPr>
      </w:pPr>
      <w:r w:rsidRPr="00AE6DCB">
        <w:rPr>
          <w:sz w:val="24"/>
          <w:szCs w:val="24"/>
        </w:rPr>
        <w:t xml:space="preserve">La variation à la hausse de l’indice « Alimentation » est liée à l’augmentation des prix des produits alimentaires de base comme le haricot sec (72,4 p.c.), les pommes de terre (15,5 p.c.), le </w:t>
      </w:r>
      <w:proofErr w:type="spellStart"/>
      <w:r w:rsidRPr="00AE6DCB">
        <w:rPr>
          <w:sz w:val="24"/>
          <w:szCs w:val="24"/>
        </w:rPr>
        <w:t>ndagala</w:t>
      </w:r>
      <w:proofErr w:type="spellEnd"/>
      <w:r w:rsidRPr="00AE6DCB">
        <w:rPr>
          <w:sz w:val="24"/>
          <w:szCs w:val="24"/>
        </w:rPr>
        <w:t xml:space="preserve"> sec (67,5 p.c.), la viande de bœuf (13,6 p.c.), le sucre cristallisé (20,1 p.c.), les produits de la BRARUDI (23,4 p.c.), la farine de manioc (2,7 p.c.) et le pain (61,3 p.c.) qui a contrebalancé la baisse des prix du </w:t>
      </w:r>
      <w:proofErr w:type="spellStart"/>
      <w:r w:rsidRPr="00AE6DCB">
        <w:rPr>
          <w:sz w:val="24"/>
          <w:szCs w:val="24"/>
        </w:rPr>
        <w:t>ndagala</w:t>
      </w:r>
      <w:proofErr w:type="spellEnd"/>
      <w:r w:rsidRPr="00AE6DCB">
        <w:rPr>
          <w:sz w:val="24"/>
          <w:szCs w:val="24"/>
        </w:rPr>
        <w:t xml:space="preserve"> frais (-37,0 p.c.), du maïs (-31,6 p.c.) et du riz (-3,3 p.c.).</w:t>
      </w:r>
    </w:p>
    <w:p w:rsidR="002929A8" w:rsidRPr="00AE6DCB" w:rsidRDefault="002929A8" w:rsidP="003A11DF">
      <w:pPr>
        <w:jc w:val="both"/>
        <w:rPr>
          <w:sz w:val="24"/>
          <w:szCs w:val="24"/>
        </w:rPr>
      </w:pPr>
      <w:r w:rsidRPr="00AE6DCB">
        <w:rPr>
          <w:sz w:val="24"/>
          <w:szCs w:val="24"/>
        </w:rPr>
        <w:t xml:space="preserve">Le ralentissement de l’indice « Hors alimentation » a porté essentiellement sur les indices des secteurs « Habillement » (8,4 contre 38,9 p.c.), « Logement, </w:t>
      </w:r>
      <w:r w:rsidRPr="00AE6DCB">
        <w:rPr>
          <w:sz w:val="24"/>
          <w:szCs w:val="24"/>
        </w:rPr>
        <w:lastRenderedPageBreak/>
        <w:t>chauffage et éclairage » (7,9 contre 29,9 p.c.) et « Autres biens et services » (8,1 contre 14,9 p.c.).</w:t>
      </w:r>
    </w:p>
    <w:p w:rsidR="002929A8" w:rsidRPr="00AE6DCB" w:rsidRDefault="002929A8" w:rsidP="003A11DF">
      <w:pPr>
        <w:jc w:val="both"/>
        <w:rPr>
          <w:sz w:val="24"/>
          <w:szCs w:val="24"/>
          <w:lang w:val="fr-BE"/>
        </w:rPr>
      </w:pPr>
      <w:r w:rsidRPr="00AE6DCB">
        <w:rPr>
          <w:sz w:val="24"/>
          <w:szCs w:val="24"/>
          <w:lang w:val="fr-BE"/>
        </w:rPr>
        <w:t>Par rapport au mois de mai 2013, l’indice général des prix de juin 2013 a fléchi (-0,2 contre 4,8 p.c.) suite essentiellement à la désinflation du secteur « Alimentation » (-0,6 contre 5,9 p.c.), l’indice hors alimentation ayant décéléré (0,2 contre 3,5 p.c.)</w:t>
      </w:r>
    </w:p>
    <w:p w:rsidR="002929A8" w:rsidRPr="00AE6DCB" w:rsidRDefault="00893847" w:rsidP="003A11DF">
      <w:pPr>
        <w:jc w:val="both"/>
        <w:rPr>
          <w:sz w:val="24"/>
          <w:szCs w:val="24"/>
          <w:lang w:val="fr-BE"/>
        </w:rPr>
      </w:pPr>
      <w:r w:rsidRPr="00AE6DCB">
        <w:rPr>
          <w:sz w:val="24"/>
          <w:szCs w:val="24"/>
          <w:lang w:val="fr-BE"/>
        </w:rPr>
        <w:object w:dxaOrig="10399" w:dyaOrig="3999">
          <v:shape id="_x0000_i1026" type="#_x0000_t75" style="width:207pt;height:178.2pt" o:ole="">
            <v:imagedata r:id="rId13" o:title=""/>
          </v:shape>
          <o:OLEObject Type="Embed" ProgID="Excel.Sheet.8" ShapeID="_x0000_i1026" DrawAspect="Content" ObjectID="_1438762066" r:id="rId14"/>
        </w:object>
      </w:r>
    </w:p>
    <w:p w:rsidR="00CD47BE" w:rsidRPr="00AE6DCB" w:rsidRDefault="00CD47BE" w:rsidP="003A11DF">
      <w:pPr>
        <w:pStyle w:val="Titre1"/>
        <w:jc w:val="both"/>
        <w:rPr>
          <w:rFonts w:asciiTheme="minorHAnsi" w:hAnsiTheme="minorHAnsi"/>
          <w:sz w:val="24"/>
          <w:szCs w:val="24"/>
          <w:lang w:val="fr-BE"/>
        </w:rPr>
      </w:pPr>
      <w:bookmarkStart w:id="12" w:name="_Toc364839943"/>
      <w:r w:rsidRPr="00AE6DCB">
        <w:rPr>
          <w:rFonts w:asciiTheme="minorHAnsi" w:hAnsiTheme="minorHAnsi"/>
          <w:color w:val="0070C0"/>
          <w:sz w:val="24"/>
          <w:szCs w:val="24"/>
        </w:rPr>
        <w:t>IV. FINANCES PUBLIQUES</w:t>
      </w:r>
      <w:bookmarkEnd w:id="12"/>
    </w:p>
    <w:p w:rsidR="00CD47BE" w:rsidRPr="00AE6DCB" w:rsidRDefault="00CD47BE" w:rsidP="003A11DF">
      <w:pPr>
        <w:pStyle w:val="Titre2"/>
        <w:spacing w:after="120"/>
        <w:jc w:val="both"/>
        <w:rPr>
          <w:rFonts w:asciiTheme="minorHAnsi" w:hAnsiTheme="minorHAnsi"/>
          <w:b w:val="0"/>
          <w:color w:val="0070C0"/>
          <w:sz w:val="24"/>
          <w:szCs w:val="24"/>
        </w:rPr>
      </w:pPr>
      <w:bookmarkStart w:id="13" w:name="_Toc364839944"/>
      <w:r w:rsidRPr="00AE6DCB">
        <w:rPr>
          <w:rFonts w:asciiTheme="minorHAnsi" w:hAnsiTheme="minorHAnsi"/>
          <w:color w:val="0070C0"/>
          <w:sz w:val="24"/>
          <w:szCs w:val="24"/>
        </w:rPr>
        <w:t>Recettes</w:t>
      </w:r>
      <w:bookmarkEnd w:id="13"/>
      <w:r w:rsidRPr="00AE6DCB">
        <w:rPr>
          <w:rFonts w:asciiTheme="minorHAnsi" w:hAnsiTheme="minorHAnsi"/>
          <w:color w:val="0070C0"/>
          <w:sz w:val="24"/>
          <w:szCs w:val="24"/>
        </w:rPr>
        <w:t xml:space="preserve"> </w:t>
      </w:r>
    </w:p>
    <w:p w:rsidR="002929A8" w:rsidRPr="00AE6DCB" w:rsidRDefault="002929A8" w:rsidP="003A11DF">
      <w:pPr>
        <w:jc w:val="both"/>
        <w:rPr>
          <w:sz w:val="24"/>
          <w:szCs w:val="24"/>
        </w:rPr>
      </w:pPr>
      <w:r w:rsidRPr="00AE6DCB">
        <w:rPr>
          <w:sz w:val="24"/>
          <w:szCs w:val="24"/>
        </w:rPr>
        <w:t>A fin Juin 2013, les recettes du budget consolidé de l’Etat se sont établies à 274.387,2 MBIF contre 271.968,9 MBIF à la période correspondante de l’année précédente, soit une augmentation de 2.418,2 MBIF, ou 0,9 p.c</w:t>
      </w:r>
      <w:proofErr w:type="gramStart"/>
      <w:r w:rsidRPr="00AE6DCB">
        <w:rPr>
          <w:sz w:val="24"/>
          <w:szCs w:val="24"/>
        </w:rPr>
        <w:t>..</w:t>
      </w:r>
      <w:proofErr w:type="gramEnd"/>
      <w:r w:rsidRPr="00AE6DCB">
        <w:rPr>
          <w:sz w:val="24"/>
          <w:szCs w:val="24"/>
        </w:rPr>
        <w:t xml:space="preserve"> Cette hausse est liée à l’accroissement des recettes fiscales (+14.632,9 MBIF) qui a contrebalancé la diminution des recettes non fiscales (-4.957,7 MBIF) et exceptionnelles (-7.257,0 MBIF). </w:t>
      </w:r>
    </w:p>
    <w:p w:rsidR="002929A8" w:rsidRPr="00AE6DCB" w:rsidRDefault="002929A8" w:rsidP="003A11DF">
      <w:pPr>
        <w:jc w:val="both"/>
        <w:rPr>
          <w:sz w:val="24"/>
          <w:szCs w:val="24"/>
        </w:rPr>
      </w:pPr>
      <w:r w:rsidRPr="00AE6DCB">
        <w:rPr>
          <w:sz w:val="24"/>
          <w:szCs w:val="24"/>
        </w:rPr>
        <w:t xml:space="preserve">Comparées à celles du mois précédent, les recettes de juin 2013 ont progressé de 16.523,0 MBIF passant de 37.322,1 à 53.845,1 MBIF en rapport avec la hausse </w:t>
      </w:r>
      <w:r w:rsidRPr="00AE6DCB">
        <w:rPr>
          <w:sz w:val="24"/>
          <w:szCs w:val="24"/>
        </w:rPr>
        <w:lastRenderedPageBreak/>
        <w:t>des recettes fiscales (+17.810,7MBIF) et exceptionnelles (+46,2 MBIF), les recettes non fiscales ayant baissé de 1.333,9 MBIF.</w:t>
      </w:r>
    </w:p>
    <w:p w:rsidR="00CD47BE" w:rsidRPr="00AE6DCB" w:rsidRDefault="00CD47BE" w:rsidP="003A11DF">
      <w:pPr>
        <w:pStyle w:val="Titre2"/>
        <w:spacing w:after="120"/>
        <w:jc w:val="both"/>
        <w:rPr>
          <w:rFonts w:asciiTheme="minorHAnsi" w:hAnsiTheme="minorHAnsi"/>
          <w:b w:val="0"/>
          <w:color w:val="0070C0"/>
          <w:sz w:val="24"/>
          <w:szCs w:val="24"/>
        </w:rPr>
      </w:pPr>
      <w:bookmarkStart w:id="14" w:name="_Toc364839945"/>
      <w:r w:rsidRPr="00AE6DCB">
        <w:rPr>
          <w:rFonts w:asciiTheme="minorHAnsi" w:hAnsiTheme="minorHAnsi"/>
          <w:color w:val="0070C0"/>
          <w:sz w:val="24"/>
          <w:szCs w:val="24"/>
        </w:rPr>
        <w:t>Dépenses</w:t>
      </w:r>
      <w:bookmarkEnd w:id="14"/>
    </w:p>
    <w:p w:rsidR="002929A8" w:rsidRPr="00AE6DCB" w:rsidRDefault="002929A8" w:rsidP="003A11DF">
      <w:pPr>
        <w:jc w:val="both"/>
        <w:rPr>
          <w:sz w:val="24"/>
          <w:szCs w:val="24"/>
        </w:rPr>
      </w:pPr>
      <w:r w:rsidRPr="00AE6DCB">
        <w:rPr>
          <w:sz w:val="24"/>
          <w:szCs w:val="24"/>
        </w:rPr>
        <w:t>Les dépenses de personnel cumulées du 1</w:t>
      </w:r>
      <w:r w:rsidRPr="00AE6DCB">
        <w:rPr>
          <w:sz w:val="24"/>
          <w:szCs w:val="24"/>
          <w:vertAlign w:val="superscript"/>
        </w:rPr>
        <w:t>er</w:t>
      </w:r>
      <w:r w:rsidRPr="00AE6DCB">
        <w:rPr>
          <w:sz w:val="24"/>
          <w:szCs w:val="24"/>
        </w:rPr>
        <w:t xml:space="preserve"> semestre 2013 se sont fixées à 145.378,9 contre 133.732,5 MBIF à la fin de la période correspondante de 2012, soit une hausse de 11.646,4 MBIF en liaison avec l’augmentation des dépenses de personnel dans le budget de l’Etat de 2013. </w:t>
      </w:r>
    </w:p>
    <w:p w:rsidR="00CD47BE" w:rsidRPr="00AE6DCB" w:rsidRDefault="00CD47BE" w:rsidP="003A11DF">
      <w:pPr>
        <w:pStyle w:val="Titre2"/>
        <w:spacing w:after="120"/>
        <w:jc w:val="both"/>
        <w:rPr>
          <w:rFonts w:asciiTheme="minorHAnsi" w:hAnsiTheme="minorHAnsi"/>
          <w:b w:val="0"/>
          <w:color w:val="0070C0"/>
          <w:sz w:val="24"/>
          <w:szCs w:val="24"/>
        </w:rPr>
      </w:pPr>
      <w:bookmarkStart w:id="15" w:name="_Toc364839946"/>
      <w:r w:rsidRPr="00AE6DCB">
        <w:rPr>
          <w:rFonts w:asciiTheme="minorHAnsi" w:hAnsiTheme="minorHAnsi"/>
          <w:color w:val="0070C0"/>
          <w:sz w:val="24"/>
          <w:szCs w:val="24"/>
        </w:rPr>
        <w:t>Dette publique</w:t>
      </w:r>
      <w:bookmarkEnd w:id="15"/>
    </w:p>
    <w:p w:rsidR="002929A8" w:rsidRPr="00AE6DCB" w:rsidRDefault="002929A8" w:rsidP="003A11DF">
      <w:pPr>
        <w:jc w:val="both"/>
        <w:rPr>
          <w:sz w:val="24"/>
          <w:szCs w:val="24"/>
        </w:rPr>
      </w:pPr>
      <w:r w:rsidRPr="00AE6DCB">
        <w:rPr>
          <w:sz w:val="24"/>
          <w:szCs w:val="24"/>
        </w:rPr>
        <w:t>L’encours de la dette publique a progressé de 188.390,6 MBIF, soit 19,4 p.c.</w:t>
      </w:r>
      <w:r w:rsidR="00AE6DCB">
        <w:rPr>
          <w:sz w:val="24"/>
          <w:szCs w:val="24"/>
        </w:rPr>
        <w:t>,</w:t>
      </w:r>
      <w:r w:rsidRPr="00AE6DCB">
        <w:rPr>
          <w:sz w:val="24"/>
          <w:szCs w:val="24"/>
        </w:rPr>
        <w:t xml:space="preserve"> se fixant à 1.160.663,3 MBIF à fin juin  2013 contre 972.272,8 MBIF à la période correspondante de 2012 en raison de l’augmentation de la dette intérieure (+93.078,0 MBIF) et extérieure (+95.312,6 MBIF). </w:t>
      </w:r>
    </w:p>
    <w:p w:rsidR="002929A8" w:rsidRPr="00AE6DCB" w:rsidRDefault="002929A8" w:rsidP="003A11DF">
      <w:pPr>
        <w:jc w:val="both"/>
        <w:rPr>
          <w:sz w:val="24"/>
          <w:szCs w:val="24"/>
        </w:rPr>
      </w:pPr>
      <w:r w:rsidRPr="00AE6DCB">
        <w:rPr>
          <w:sz w:val="24"/>
          <w:szCs w:val="24"/>
        </w:rPr>
        <w:t>D’un mois à l’autre, l’encours de la dette publique s’est accru de 8.062,0 MBIF suite à l’augmentation</w:t>
      </w:r>
      <w:r w:rsidR="00245DC7">
        <w:rPr>
          <w:sz w:val="24"/>
          <w:szCs w:val="24"/>
        </w:rPr>
        <w:t xml:space="preserve"> de</w:t>
      </w:r>
      <w:r w:rsidRPr="00AE6DCB">
        <w:rPr>
          <w:sz w:val="24"/>
          <w:szCs w:val="24"/>
        </w:rPr>
        <w:t xml:space="preserve"> la dette  intérieure (+5.875,3 MBIF) et extérieure (+2.186,7 MBIF). </w:t>
      </w:r>
    </w:p>
    <w:p w:rsidR="00CD47BE" w:rsidRPr="00AE6DCB" w:rsidRDefault="00CD47BE" w:rsidP="003A11DF">
      <w:pPr>
        <w:pStyle w:val="Titre3"/>
        <w:spacing w:after="120"/>
        <w:jc w:val="both"/>
        <w:rPr>
          <w:rFonts w:asciiTheme="minorHAnsi" w:hAnsiTheme="minorHAnsi"/>
          <w:b w:val="0"/>
          <w:color w:val="0070C0"/>
          <w:sz w:val="24"/>
          <w:szCs w:val="24"/>
        </w:rPr>
      </w:pPr>
      <w:bookmarkStart w:id="16" w:name="_Toc364839947"/>
      <w:r w:rsidRPr="00AE6DCB">
        <w:rPr>
          <w:rFonts w:asciiTheme="minorHAnsi" w:hAnsiTheme="minorHAnsi"/>
          <w:color w:val="0070C0"/>
          <w:sz w:val="24"/>
          <w:szCs w:val="24"/>
        </w:rPr>
        <w:t>- Dette intérieure</w:t>
      </w:r>
      <w:bookmarkEnd w:id="16"/>
    </w:p>
    <w:p w:rsidR="002929A8" w:rsidRPr="00AE6DCB" w:rsidRDefault="00AE6DCB" w:rsidP="003A11DF">
      <w:pPr>
        <w:jc w:val="both"/>
        <w:rPr>
          <w:sz w:val="24"/>
          <w:szCs w:val="24"/>
        </w:rPr>
      </w:pPr>
      <w:r>
        <w:rPr>
          <w:sz w:val="24"/>
          <w:szCs w:val="24"/>
        </w:rPr>
        <w:t>Par rapport à fin juin 2012</w:t>
      </w:r>
      <w:r w:rsidR="002929A8" w:rsidRPr="00AE6DCB">
        <w:rPr>
          <w:sz w:val="24"/>
          <w:szCs w:val="24"/>
        </w:rPr>
        <w:t xml:space="preserve">, le stock de la dette publique intérieure a progressé de  93.078,0 MBIF,  passant de 460.060,9 à 553.138,9 MBIF en liaison avec l’augmentation de l’endettement de l’Etat vis-à-vis du secteur bancaire (+119.821,4 MBIF) légèrement  atténuée par le désendettement de l’Etat envers le secteur non  bancaire (-26.743,4 MBIF). </w:t>
      </w:r>
    </w:p>
    <w:p w:rsidR="002929A8" w:rsidRPr="00AE6DCB" w:rsidRDefault="002929A8" w:rsidP="003A11DF">
      <w:pPr>
        <w:jc w:val="both"/>
        <w:rPr>
          <w:sz w:val="24"/>
          <w:szCs w:val="24"/>
        </w:rPr>
      </w:pPr>
      <w:r w:rsidRPr="00AE6DCB">
        <w:rPr>
          <w:sz w:val="24"/>
          <w:szCs w:val="24"/>
        </w:rPr>
        <w:t xml:space="preserve">Au niveau du secteur bancaire, la progression de l’endettement de l’Etat a résulté de la hausse des engagements de </w:t>
      </w:r>
      <w:r w:rsidRPr="00AE6DCB">
        <w:rPr>
          <w:sz w:val="24"/>
          <w:szCs w:val="24"/>
        </w:rPr>
        <w:lastRenderedPageBreak/>
        <w:t xml:space="preserve">l’Etat envers la Banque Centrale (+116.531,9 MBIF) et les banques commerciales (+7.833,5 MBIF). </w:t>
      </w:r>
    </w:p>
    <w:p w:rsidR="002929A8" w:rsidRPr="00AE6DCB" w:rsidRDefault="002929A8" w:rsidP="003A11DF">
      <w:pPr>
        <w:jc w:val="both"/>
        <w:rPr>
          <w:sz w:val="24"/>
          <w:szCs w:val="24"/>
        </w:rPr>
      </w:pPr>
      <w:r w:rsidRPr="00AE6DCB">
        <w:rPr>
          <w:sz w:val="24"/>
          <w:szCs w:val="24"/>
        </w:rPr>
        <w:t xml:space="preserve">Du côté du secteur non bancaire, le désendettement a résulté de la diminution des arriérés en dépense (- 42.791,5 MBIF) qui  a l’emporté sur la progression des engagements de l’Etat  au titre des bons et obligations du Trésor (+16.048.1 MBIF). </w:t>
      </w:r>
    </w:p>
    <w:p w:rsidR="002929A8" w:rsidRPr="00AE6DCB" w:rsidRDefault="002929A8" w:rsidP="003A11DF">
      <w:pPr>
        <w:jc w:val="both"/>
        <w:rPr>
          <w:sz w:val="24"/>
          <w:szCs w:val="24"/>
        </w:rPr>
      </w:pPr>
      <w:r w:rsidRPr="00AE6DCB">
        <w:rPr>
          <w:sz w:val="24"/>
          <w:szCs w:val="24"/>
        </w:rPr>
        <w:t xml:space="preserve">En flux mensuels, le stock de la dette intérieure s’est accru de 5.875,3  MBIF, passant de 547.263,6 à 553.138,9 MBIF suite à  l’endettement de l’Etat vis-à-vis du secteur bancaire (+891,2 MBIF) </w:t>
      </w:r>
      <w:r w:rsidR="00597A72">
        <w:rPr>
          <w:sz w:val="24"/>
          <w:szCs w:val="24"/>
        </w:rPr>
        <w:t>et</w:t>
      </w:r>
      <w:r w:rsidRPr="00AE6DCB">
        <w:rPr>
          <w:sz w:val="24"/>
          <w:szCs w:val="24"/>
        </w:rPr>
        <w:t xml:space="preserve"> non bancaire (+ 4.984,1 MBIF).  Au niveau du secteur bancaire l’Etat s’est désendetté envers la Banque Centrale (-1.701,4 MBIF) au moment où son endettement envers les banques commerciales a augmenté de 2.592,6 MBIF.  </w:t>
      </w:r>
    </w:p>
    <w:p w:rsidR="00CD47BE" w:rsidRPr="00AE6DCB" w:rsidRDefault="00CD47BE" w:rsidP="003A11DF">
      <w:pPr>
        <w:pStyle w:val="Titre3"/>
        <w:spacing w:after="120"/>
        <w:jc w:val="both"/>
        <w:rPr>
          <w:rFonts w:asciiTheme="minorHAnsi" w:hAnsiTheme="minorHAnsi"/>
          <w:b w:val="0"/>
          <w:color w:val="0070C0"/>
          <w:sz w:val="24"/>
          <w:szCs w:val="24"/>
        </w:rPr>
      </w:pPr>
      <w:bookmarkStart w:id="17" w:name="_Toc364839948"/>
      <w:r w:rsidRPr="00AE6DCB">
        <w:rPr>
          <w:rFonts w:asciiTheme="minorHAnsi" w:hAnsiTheme="minorHAnsi"/>
          <w:color w:val="0070C0"/>
          <w:sz w:val="24"/>
          <w:szCs w:val="24"/>
        </w:rPr>
        <w:t>- Dette extérieure</w:t>
      </w:r>
      <w:bookmarkEnd w:id="17"/>
    </w:p>
    <w:p w:rsidR="00E71D8A" w:rsidRPr="00AE6DCB" w:rsidRDefault="00E71D8A" w:rsidP="003A11DF">
      <w:pPr>
        <w:jc w:val="both"/>
        <w:rPr>
          <w:sz w:val="24"/>
          <w:szCs w:val="24"/>
        </w:rPr>
      </w:pPr>
      <w:r w:rsidRPr="00AE6DCB">
        <w:rPr>
          <w:sz w:val="24"/>
          <w:szCs w:val="24"/>
        </w:rPr>
        <w:t xml:space="preserve">En glissement annuel, l’encours de la dette publique extérieure à fin Juin 2013 a progressé de 95.312,6 MBIF, passant de 512.211,8 à 607.524,4 MBIF. Cette progression a résulté des nouveaux tirages (59.582,4 MBIF) et des plus-values de réévaluation (44.467,8 MBIF), légèrement atténuée par l’amortissement de 9.055,8 MBIF.  </w:t>
      </w:r>
    </w:p>
    <w:p w:rsidR="00E71D8A" w:rsidRPr="00AE6DCB" w:rsidRDefault="00E71D8A" w:rsidP="003A11DF">
      <w:pPr>
        <w:jc w:val="both"/>
        <w:rPr>
          <w:sz w:val="24"/>
          <w:szCs w:val="24"/>
        </w:rPr>
      </w:pPr>
      <w:r w:rsidRPr="00AE6DCB">
        <w:rPr>
          <w:sz w:val="24"/>
          <w:szCs w:val="24"/>
        </w:rPr>
        <w:t>D’un mois à l’autre, l’encours de la dette publique extérieure a augmenté de 2.186,7 MBIF, passant de 605.337,7 à 607.524,4 MBIF en rapport avec les plus</w:t>
      </w:r>
      <w:r w:rsidR="00245DC7">
        <w:rPr>
          <w:sz w:val="24"/>
          <w:szCs w:val="24"/>
        </w:rPr>
        <w:t>-values</w:t>
      </w:r>
      <w:r w:rsidRPr="00AE6DCB">
        <w:rPr>
          <w:sz w:val="24"/>
          <w:szCs w:val="24"/>
        </w:rPr>
        <w:t xml:space="preserve"> de réévaluation  (2.300,4 MBIF) et les tirages (351,8 MBIF) qui ont contrebalancé les amortissements (465,5 MBIF).</w:t>
      </w:r>
    </w:p>
    <w:p w:rsidR="00E71D8A" w:rsidRPr="00AE6DCB" w:rsidRDefault="00E71D8A" w:rsidP="003A11DF">
      <w:pPr>
        <w:jc w:val="both"/>
        <w:rPr>
          <w:sz w:val="24"/>
          <w:szCs w:val="24"/>
        </w:rPr>
      </w:pPr>
      <w:r w:rsidRPr="00AE6DCB">
        <w:rPr>
          <w:sz w:val="24"/>
          <w:szCs w:val="24"/>
        </w:rPr>
        <w:lastRenderedPageBreak/>
        <w:t xml:space="preserve">Les tirages de juin 2013 ont été orientés vers la construction de la route NTAMBA-NDORA financée par l’OPEP et la BADEA à hauteur de 34,0 MBIF et 62,5 MBIF respectivement. Le FAD a aussi financé le </w:t>
      </w:r>
      <w:r w:rsidR="00AE6DCB" w:rsidRPr="00AE6DCB">
        <w:rPr>
          <w:sz w:val="24"/>
          <w:szCs w:val="24"/>
        </w:rPr>
        <w:t xml:space="preserve">Programme </w:t>
      </w:r>
      <w:r w:rsidRPr="00AE6DCB">
        <w:rPr>
          <w:sz w:val="24"/>
          <w:szCs w:val="24"/>
        </w:rPr>
        <w:t xml:space="preserve">Aménagement du </w:t>
      </w:r>
      <w:r w:rsidR="00AE6DCB" w:rsidRPr="00AE6DCB">
        <w:rPr>
          <w:sz w:val="24"/>
          <w:szCs w:val="24"/>
        </w:rPr>
        <w:t xml:space="preserve">Lac </w:t>
      </w:r>
      <w:r w:rsidRPr="00AE6DCB">
        <w:rPr>
          <w:sz w:val="24"/>
          <w:szCs w:val="24"/>
        </w:rPr>
        <w:t xml:space="preserve">à hauteur de 255,5 MBIF.  </w:t>
      </w:r>
    </w:p>
    <w:p w:rsidR="00E71D8A" w:rsidRPr="00AE6DCB" w:rsidRDefault="00E71D8A" w:rsidP="00893847">
      <w:pPr>
        <w:spacing w:line="240" w:lineRule="auto"/>
        <w:jc w:val="both"/>
        <w:rPr>
          <w:sz w:val="24"/>
          <w:szCs w:val="24"/>
        </w:rPr>
      </w:pPr>
      <w:r w:rsidRPr="00AE6DCB">
        <w:rPr>
          <w:sz w:val="24"/>
          <w:szCs w:val="24"/>
        </w:rPr>
        <w:t xml:space="preserve">Exprimé en dollars américains, le stock de la dette extérieure à fin juin 2013 a augmenté de 34,2 MUSD, se fixant à 395,1 contre 360,9 MUSD à </w:t>
      </w:r>
      <w:r w:rsidR="00994369">
        <w:rPr>
          <w:sz w:val="24"/>
          <w:szCs w:val="24"/>
        </w:rPr>
        <w:t>fin juin 2012</w:t>
      </w:r>
      <w:r w:rsidRPr="00AE6DCB">
        <w:rPr>
          <w:sz w:val="24"/>
          <w:szCs w:val="24"/>
        </w:rPr>
        <w:t>.</w:t>
      </w:r>
    </w:p>
    <w:p w:rsidR="00BF7FDB" w:rsidRPr="009020D3" w:rsidRDefault="00F12C3B" w:rsidP="009020D3">
      <w:pPr>
        <w:pStyle w:val="Titre"/>
        <w:jc w:val="left"/>
        <w:rPr>
          <w:color w:val="0070C0"/>
          <w:sz w:val="24"/>
          <w:u w:val="none"/>
        </w:rPr>
      </w:pPr>
      <w:r w:rsidRPr="009020D3">
        <w:rPr>
          <w:color w:val="0070C0"/>
          <w:sz w:val="24"/>
          <w:u w:val="none"/>
        </w:rPr>
        <w:t>V. BASE MONETAIRE, MASSE MONETAIRE ET SES CONTREPARTIES</w:t>
      </w:r>
      <w:bookmarkEnd w:id="11"/>
    </w:p>
    <w:p w:rsidR="00F12C3B" w:rsidRPr="00AE6DCB" w:rsidRDefault="00F12C3B" w:rsidP="003A11DF">
      <w:pPr>
        <w:pStyle w:val="Titre2"/>
        <w:spacing w:after="120"/>
        <w:jc w:val="both"/>
        <w:rPr>
          <w:rFonts w:asciiTheme="minorHAnsi" w:hAnsiTheme="minorHAnsi" w:cs="Times New Roman"/>
          <w:b w:val="0"/>
          <w:color w:val="0070C0"/>
          <w:sz w:val="24"/>
          <w:szCs w:val="24"/>
        </w:rPr>
      </w:pPr>
      <w:bookmarkStart w:id="18" w:name="_Toc362356420"/>
      <w:bookmarkStart w:id="19" w:name="_Toc364839949"/>
      <w:r w:rsidRPr="00AE6DCB">
        <w:rPr>
          <w:rFonts w:asciiTheme="minorHAnsi" w:hAnsiTheme="minorHAnsi" w:cs="Times New Roman"/>
          <w:color w:val="0070C0"/>
          <w:sz w:val="24"/>
          <w:szCs w:val="24"/>
        </w:rPr>
        <w:t>Base monétaire</w:t>
      </w:r>
      <w:bookmarkEnd w:id="18"/>
      <w:bookmarkEnd w:id="19"/>
    </w:p>
    <w:p w:rsidR="001866CC" w:rsidRPr="00AE6DCB" w:rsidRDefault="001866CC" w:rsidP="003A11DF">
      <w:pPr>
        <w:pStyle w:val="Retraitcorpsdetexte3"/>
        <w:ind w:firstLine="0"/>
        <w:rPr>
          <w:rFonts w:asciiTheme="minorHAnsi" w:hAnsiTheme="minorHAnsi"/>
          <w:color w:val="auto"/>
          <w:sz w:val="24"/>
          <w:szCs w:val="24"/>
        </w:rPr>
      </w:pPr>
      <w:bookmarkStart w:id="20" w:name="_Toc362356421"/>
      <w:r w:rsidRPr="00AE6DCB">
        <w:rPr>
          <w:rFonts w:asciiTheme="minorHAnsi" w:hAnsiTheme="minorHAnsi"/>
          <w:color w:val="auto"/>
          <w:sz w:val="24"/>
          <w:szCs w:val="24"/>
        </w:rPr>
        <w:t xml:space="preserve">En glissement sur douze mois, la base monétaire s’est sensiblement accrue de 61.284,1 MBIF, soit 28,1 p.c., passant de 217.841,8 à 279.125,9 MBIF. Cette augmentation a résulté de la hausse des dépôts du secteur bancaire (+29.212,7 MBIF), des billets et pièces en circulation (+22.169,4 MBIF), des avoirs des sociétés à participation publique (+3.622,4 MBIF) et des dépôts divers (+6.279,6 MBIF).    </w:t>
      </w:r>
    </w:p>
    <w:p w:rsidR="00F12C3B" w:rsidRPr="00AE6DCB" w:rsidRDefault="00742B2D" w:rsidP="003A11DF">
      <w:pPr>
        <w:pStyle w:val="Titre2"/>
        <w:spacing w:after="120"/>
        <w:jc w:val="both"/>
        <w:rPr>
          <w:rFonts w:asciiTheme="minorHAnsi" w:hAnsiTheme="minorHAnsi" w:cs="Times New Roman"/>
          <w:b w:val="0"/>
          <w:color w:val="0070C0"/>
          <w:sz w:val="24"/>
          <w:szCs w:val="24"/>
        </w:rPr>
      </w:pPr>
      <w:bookmarkStart w:id="21" w:name="_Toc364839950"/>
      <w:r w:rsidRPr="00AE6DCB">
        <w:rPr>
          <w:rFonts w:asciiTheme="minorHAnsi" w:hAnsiTheme="minorHAnsi" w:cs="Times New Roman"/>
          <w:color w:val="0070C0"/>
          <w:sz w:val="24"/>
          <w:szCs w:val="24"/>
        </w:rPr>
        <w:t>Masse monétaire</w:t>
      </w:r>
      <w:bookmarkEnd w:id="20"/>
      <w:bookmarkEnd w:id="21"/>
    </w:p>
    <w:p w:rsidR="001866CC" w:rsidRPr="00AE6DCB" w:rsidRDefault="001866CC" w:rsidP="003A11DF">
      <w:pPr>
        <w:jc w:val="both"/>
        <w:rPr>
          <w:rFonts w:eastAsia="Calibri" w:cs="Times New Roman"/>
          <w:sz w:val="24"/>
          <w:szCs w:val="24"/>
        </w:rPr>
      </w:pPr>
      <w:bookmarkStart w:id="22" w:name="_Toc362356422"/>
      <w:r w:rsidRPr="00AE6DCB">
        <w:rPr>
          <w:rFonts w:eastAsia="Calibri" w:cs="Times New Roman"/>
          <w:sz w:val="24"/>
          <w:szCs w:val="24"/>
        </w:rPr>
        <w:t>Comparée à celle du mois de juin 2012, la masse monétaire (780.038,2 contre 684.424,8 MBIF) a fortement progressé de 95.613,4 MBIF, soit 14,0 p.c., en rapport avec l’accroissement des disponibilités monétaires (+65.709,9 MBIF) et de la quasi-monnaie (+29.903,5 MBIF).</w:t>
      </w:r>
    </w:p>
    <w:p w:rsidR="001866CC" w:rsidRPr="00AE6DCB" w:rsidRDefault="001866CC" w:rsidP="003A11DF">
      <w:pPr>
        <w:pStyle w:val="Retraitcorpsdetexte"/>
        <w:ind w:left="0"/>
        <w:jc w:val="both"/>
        <w:rPr>
          <w:rFonts w:eastAsia="Calibri" w:cs="Times New Roman"/>
          <w:sz w:val="24"/>
          <w:szCs w:val="24"/>
        </w:rPr>
      </w:pPr>
      <w:r w:rsidRPr="00AE6DCB">
        <w:rPr>
          <w:rFonts w:eastAsia="Calibri" w:cs="Times New Roman"/>
          <w:sz w:val="24"/>
          <w:szCs w:val="24"/>
        </w:rPr>
        <w:t xml:space="preserve">La hausse des disponibilités monétaires a concerné à la fois les dépôts à vue (+50.045,3 MBIF) et la circulation fiduciaire hors banques (+15.664,6 MBIF). </w:t>
      </w:r>
    </w:p>
    <w:p w:rsidR="001866CC" w:rsidRPr="00AE6DCB" w:rsidRDefault="001866CC" w:rsidP="003A11DF">
      <w:pPr>
        <w:jc w:val="both"/>
        <w:rPr>
          <w:rFonts w:eastAsia="Calibri" w:cs="Times New Roman"/>
          <w:sz w:val="24"/>
          <w:szCs w:val="24"/>
        </w:rPr>
      </w:pPr>
      <w:r w:rsidRPr="00AE6DCB">
        <w:rPr>
          <w:rFonts w:eastAsia="Calibri" w:cs="Times New Roman"/>
          <w:sz w:val="24"/>
          <w:szCs w:val="24"/>
        </w:rPr>
        <w:t xml:space="preserve">L’augmentation des dépôts à vue a porté sur les avoirs des particuliers (+23.636,2 MBIF),  des entreprises privées (+14.021,1 MBIF), des sociétés à participation </w:t>
      </w:r>
      <w:r w:rsidRPr="00AE6DCB">
        <w:rPr>
          <w:rFonts w:eastAsia="Calibri" w:cs="Times New Roman"/>
          <w:sz w:val="24"/>
          <w:szCs w:val="24"/>
        </w:rPr>
        <w:lastRenderedPageBreak/>
        <w:t xml:space="preserve">publique (+4.506,7 MBIF), des établissements financiers (+1.055,7 MBIF) et sur les dépôts regroupés dans les « autres comptes » (+6.825,6 MBIF). </w:t>
      </w:r>
    </w:p>
    <w:p w:rsidR="001866CC" w:rsidRPr="00AE6DCB" w:rsidRDefault="001866CC" w:rsidP="003A11DF">
      <w:pPr>
        <w:jc w:val="both"/>
        <w:rPr>
          <w:rFonts w:eastAsia="Calibri" w:cs="Times New Roman"/>
          <w:sz w:val="24"/>
          <w:szCs w:val="24"/>
        </w:rPr>
      </w:pPr>
      <w:r w:rsidRPr="00AE6DCB">
        <w:rPr>
          <w:rFonts w:eastAsia="Calibri" w:cs="Times New Roman"/>
          <w:sz w:val="24"/>
          <w:szCs w:val="24"/>
        </w:rPr>
        <w:t xml:space="preserve">L’accroissement des dépôts à terme et d’épargne a résulté de la hausse des placements des particuliers (+17.116,7 MBIF), des entreprises privées (+9.187,0 MBIF), des dépôts regroupés dans les « autres comptes » (+3.490,3 MBIF) et ceux des établissements financiers (+474,3 MBIF). En revanche, les avoirs des sociétés à participation publique (-365,3 MBIF) se sont inscrits en retrait. </w:t>
      </w:r>
    </w:p>
    <w:p w:rsidR="003C33AF" w:rsidRPr="00AE6DCB" w:rsidRDefault="003C33AF" w:rsidP="003A11DF">
      <w:pPr>
        <w:pStyle w:val="Titre2"/>
        <w:spacing w:after="120"/>
        <w:jc w:val="both"/>
        <w:rPr>
          <w:rFonts w:asciiTheme="minorHAnsi" w:hAnsiTheme="minorHAnsi" w:cs="Times New Roman"/>
          <w:b w:val="0"/>
          <w:color w:val="0070C0"/>
          <w:sz w:val="24"/>
          <w:szCs w:val="24"/>
        </w:rPr>
      </w:pPr>
      <w:bookmarkStart w:id="23" w:name="_Toc364839951"/>
      <w:r w:rsidRPr="00AE6DCB">
        <w:rPr>
          <w:rFonts w:asciiTheme="minorHAnsi" w:hAnsiTheme="minorHAnsi" w:cs="Times New Roman"/>
          <w:color w:val="0070C0"/>
          <w:sz w:val="24"/>
          <w:szCs w:val="24"/>
        </w:rPr>
        <w:t>Contreparties</w:t>
      </w:r>
      <w:bookmarkEnd w:id="22"/>
      <w:bookmarkEnd w:id="23"/>
    </w:p>
    <w:p w:rsidR="001866CC" w:rsidRPr="00AE6DCB" w:rsidRDefault="001866CC" w:rsidP="003A11DF">
      <w:pPr>
        <w:jc w:val="both"/>
        <w:rPr>
          <w:rFonts w:eastAsia="Calibri" w:cs="Times New Roman"/>
          <w:sz w:val="24"/>
          <w:szCs w:val="24"/>
        </w:rPr>
      </w:pPr>
      <w:bookmarkStart w:id="24" w:name="_Toc362356423"/>
      <w:r w:rsidRPr="00AE6DCB">
        <w:rPr>
          <w:rFonts w:eastAsia="Calibri" w:cs="Times New Roman"/>
          <w:sz w:val="24"/>
          <w:szCs w:val="24"/>
        </w:rPr>
        <w:t>Passant de 909.706,6 à 1.010.108,6 MBIF, le crédit intérieur s’est sensiblement accru de 100.402,0 MBIF, soit 11,0 p.c. en rapport avec l’expansion des créances nettes sur l’Etat (+61.888,3 MBIF) et des créances sur l’économie (+38.513,7 MBIF).</w:t>
      </w:r>
    </w:p>
    <w:p w:rsidR="001866CC" w:rsidRPr="00AE6DCB" w:rsidRDefault="001866CC" w:rsidP="003A11DF">
      <w:pPr>
        <w:jc w:val="both"/>
        <w:rPr>
          <w:rFonts w:eastAsia="Calibri" w:cs="Times New Roman"/>
          <w:sz w:val="24"/>
          <w:szCs w:val="24"/>
        </w:rPr>
      </w:pPr>
      <w:r w:rsidRPr="00AE6DCB">
        <w:rPr>
          <w:rFonts w:eastAsia="Calibri" w:cs="Times New Roman"/>
          <w:sz w:val="24"/>
          <w:szCs w:val="24"/>
        </w:rPr>
        <w:t xml:space="preserve">L’augmentation de l’endettement net de l’Etat a résulté principalement de la hausse des avances de la Banque Centrale (+116.531,9 MBIF) et de l’encours des Bons et Obligations du Trésor détenus par les banques commerciales (+7.833,5 MBIF), partiellement contrebalancée par l’accroissement des dépôts de l’Etat (+57.687,7 MBIF).  </w:t>
      </w:r>
    </w:p>
    <w:p w:rsidR="001866CC" w:rsidRPr="00AE6DCB" w:rsidRDefault="001866CC" w:rsidP="003A11DF">
      <w:pPr>
        <w:jc w:val="both"/>
        <w:rPr>
          <w:rFonts w:eastAsia="Calibri" w:cs="Times New Roman"/>
          <w:sz w:val="24"/>
          <w:szCs w:val="24"/>
        </w:rPr>
      </w:pPr>
      <w:r w:rsidRPr="00AE6DCB">
        <w:rPr>
          <w:rFonts w:eastAsia="Calibri" w:cs="Times New Roman"/>
          <w:sz w:val="24"/>
          <w:szCs w:val="24"/>
        </w:rPr>
        <w:t>La progression des créances sur l’économie a porté principalement sur les crédits de trésorerie (+30.781,5 MBIF) ainsi que les financements à moyen (+10.890,0 MBIF) et long termes (+4.737,7 MBIF), les concours à l’exportation ayant diminué de 10.789,0 MBIF.</w:t>
      </w:r>
    </w:p>
    <w:p w:rsidR="001866CC" w:rsidRPr="00AE6DCB" w:rsidRDefault="001866CC" w:rsidP="003A11DF">
      <w:pPr>
        <w:jc w:val="both"/>
        <w:rPr>
          <w:rFonts w:eastAsia="Calibri" w:cs="Times New Roman"/>
          <w:sz w:val="24"/>
          <w:szCs w:val="24"/>
        </w:rPr>
      </w:pPr>
      <w:r w:rsidRPr="00AE6DCB">
        <w:rPr>
          <w:rFonts w:eastAsia="Calibri" w:cs="Times New Roman"/>
          <w:sz w:val="24"/>
          <w:szCs w:val="24"/>
        </w:rPr>
        <w:lastRenderedPageBreak/>
        <w:t xml:space="preserve">Passant de 4.174,5 à 5.820,5 MBIF, les avoirs extérieurs nets se sont accrus de 1.646,0 MBIF, soit 39,4 p.c. Exprimées en dollars américains, les réserves de change nettes ont progressé également, se fixant à 3,8 contre 2,9 millions de dollars à fin juin 2012. </w:t>
      </w:r>
    </w:p>
    <w:p w:rsidR="0096134B" w:rsidRPr="009020D3" w:rsidRDefault="0096134B" w:rsidP="009020D3">
      <w:pPr>
        <w:pStyle w:val="Titre"/>
        <w:jc w:val="left"/>
        <w:rPr>
          <w:color w:val="0070C0"/>
          <w:sz w:val="24"/>
          <w:u w:val="none"/>
        </w:rPr>
      </w:pPr>
      <w:r w:rsidRPr="009020D3">
        <w:rPr>
          <w:color w:val="0070C0"/>
          <w:sz w:val="24"/>
          <w:u w:val="none"/>
        </w:rPr>
        <w:t>VI. COMMERCE EXTERIEUR</w:t>
      </w:r>
      <w:bookmarkEnd w:id="24"/>
    </w:p>
    <w:p w:rsidR="0096134B" w:rsidRPr="00AE6DCB" w:rsidRDefault="0096134B" w:rsidP="003A11DF">
      <w:pPr>
        <w:pStyle w:val="Titre2"/>
        <w:spacing w:after="120"/>
        <w:jc w:val="both"/>
        <w:rPr>
          <w:rFonts w:asciiTheme="minorHAnsi" w:hAnsiTheme="minorHAnsi"/>
          <w:color w:val="0070C0"/>
          <w:sz w:val="24"/>
          <w:szCs w:val="24"/>
          <w:lang w:val="fr-BE"/>
        </w:rPr>
      </w:pPr>
      <w:bookmarkStart w:id="25" w:name="_Toc362356424"/>
      <w:bookmarkStart w:id="26" w:name="_Toc364839952"/>
      <w:r w:rsidRPr="00AE6DCB">
        <w:rPr>
          <w:rFonts w:asciiTheme="minorHAnsi" w:hAnsiTheme="minorHAnsi"/>
          <w:color w:val="0070C0"/>
          <w:sz w:val="24"/>
          <w:szCs w:val="24"/>
          <w:lang w:val="fr-BE"/>
        </w:rPr>
        <w:t>Exportations</w:t>
      </w:r>
      <w:bookmarkEnd w:id="25"/>
      <w:bookmarkEnd w:id="26"/>
    </w:p>
    <w:p w:rsidR="001866CC" w:rsidRPr="00AE6DCB" w:rsidRDefault="001866CC" w:rsidP="003A11DF">
      <w:pPr>
        <w:jc w:val="both"/>
        <w:rPr>
          <w:sz w:val="24"/>
          <w:szCs w:val="24"/>
          <w:lang w:val="fr-BE"/>
        </w:rPr>
      </w:pPr>
      <w:bookmarkStart w:id="27" w:name="_Toc362356425"/>
      <w:r w:rsidRPr="00AE6DCB">
        <w:rPr>
          <w:sz w:val="24"/>
          <w:szCs w:val="24"/>
          <w:lang w:val="fr-BE"/>
        </w:rPr>
        <w:t xml:space="preserve">Au terme du premier semestre 2013, les exportations ont régressé de 7,5 p.c. en valeur, revenant de 62.615,8 à 57.922,0 MBIF alors qu’elles ont progressé de 18,5 p.c. en volume, s’établissant à 20.920 contre 17.657 T. </w:t>
      </w:r>
    </w:p>
    <w:p w:rsidR="001866CC" w:rsidRPr="00AE6DCB" w:rsidRDefault="00994369" w:rsidP="003A11DF">
      <w:pPr>
        <w:jc w:val="both"/>
        <w:rPr>
          <w:sz w:val="24"/>
          <w:szCs w:val="24"/>
          <w:lang w:val="fr-BE"/>
        </w:rPr>
      </w:pPr>
      <w:r>
        <w:rPr>
          <w:sz w:val="24"/>
          <w:szCs w:val="24"/>
          <w:lang w:val="fr-BE"/>
        </w:rPr>
        <w:t>La</w:t>
      </w:r>
      <w:r w:rsidR="001866CC" w:rsidRPr="00AE6DCB">
        <w:rPr>
          <w:sz w:val="24"/>
          <w:szCs w:val="24"/>
          <w:lang w:val="fr-BE"/>
        </w:rPr>
        <w:t xml:space="preserve"> diminution en valeur a concerné les exportations des produits primaires (40.504,9 contre 55.047,4 MBIF) surtout le café (14.449,7 contre 17.082,9 MBIF), les peaux brutes (1.675,2 contre 5.102,7 MBIF) et les autres produits primaires (5.316,6 contre 14.164,4 MBIF).</w:t>
      </w:r>
    </w:p>
    <w:p w:rsidR="001866CC" w:rsidRPr="00AE6DCB" w:rsidRDefault="001866CC" w:rsidP="003A11DF">
      <w:pPr>
        <w:jc w:val="both"/>
        <w:rPr>
          <w:sz w:val="24"/>
          <w:szCs w:val="24"/>
          <w:lang w:val="fr-BE"/>
        </w:rPr>
      </w:pPr>
      <w:r w:rsidRPr="00AE6DCB">
        <w:rPr>
          <w:sz w:val="24"/>
          <w:szCs w:val="24"/>
          <w:lang w:val="fr-BE"/>
        </w:rPr>
        <w:t xml:space="preserve">En volume, la hausse des exportations est principalement liée à l’augmentation de quantités exportées des produits manufacturés (9.549 contre 5.448 T) notamment les savons (3.813 contre 2.151 T) et les autres produits manufacturés (3.224 contre 962 T). </w:t>
      </w:r>
    </w:p>
    <w:p w:rsidR="001866CC" w:rsidRPr="00AE6DCB" w:rsidRDefault="001866CC" w:rsidP="003A11DF">
      <w:pPr>
        <w:jc w:val="both"/>
        <w:rPr>
          <w:sz w:val="24"/>
          <w:szCs w:val="24"/>
          <w:lang w:val="fr-BE"/>
        </w:rPr>
      </w:pPr>
      <w:r w:rsidRPr="00AE6DCB">
        <w:rPr>
          <w:sz w:val="24"/>
          <w:szCs w:val="24"/>
          <w:lang w:val="fr-BE"/>
        </w:rPr>
        <w:t xml:space="preserve">Par rapport au mois précédent, les exportations de juin 2013 se sont inscrites en baisse tant en volume qu’en valeur, revenant de 4.156 à 3.490 T et de 9.951,3 à 7.984,7 MBIF respectivement, suite au recul des expéditions des savons (857,1 contre 1.108,6 MBIF), des peaux brutes (11,6 contre 379,3 MBIF) et des autres </w:t>
      </w:r>
      <w:r w:rsidRPr="00AE6DCB">
        <w:rPr>
          <w:sz w:val="24"/>
          <w:szCs w:val="24"/>
          <w:lang w:val="fr-BE"/>
        </w:rPr>
        <w:lastRenderedPageBreak/>
        <w:t>produits manufacturés (203,4 contre 1 .586,3 MBIF).</w:t>
      </w:r>
    </w:p>
    <w:p w:rsidR="0096134B" w:rsidRPr="00AE6DCB" w:rsidRDefault="0096134B" w:rsidP="003A11DF">
      <w:pPr>
        <w:pStyle w:val="Titre2"/>
        <w:spacing w:after="120"/>
        <w:jc w:val="both"/>
        <w:rPr>
          <w:rFonts w:asciiTheme="minorHAnsi" w:hAnsiTheme="minorHAnsi"/>
          <w:b w:val="0"/>
          <w:color w:val="0070C0"/>
          <w:sz w:val="24"/>
          <w:szCs w:val="24"/>
          <w:lang w:val="fr-BE"/>
        </w:rPr>
      </w:pPr>
      <w:bookmarkStart w:id="28" w:name="_Toc364839953"/>
      <w:r w:rsidRPr="00AE6DCB">
        <w:rPr>
          <w:rFonts w:asciiTheme="minorHAnsi" w:hAnsiTheme="minorHAnsi"/>
          <w:color w:val="0070C0"/>
          <w:sz w:val="24"/>
          <w:szCs w:val="24"/>
          <w:lang w:val="fr-BE"/>
        </w:rPr>
        <w:t>Importations</w:t>
      </w:r>
      <w:bookmarkEnd w:id="27"/>
      <w:bookmarkEnd w:id="28"/>
      <w:r w:rsidRPr="00AE6DCB">
        <w:rPr>
          <w:rFonts w:asciiTheme="minorHAnsi" w:hAnsiTheme="minorHAnsi"/>
          <w:color w:val="0070C0"/>
          <w:sz w:val="24"/>
          <w:szCs w:val="24"/>
          <w:lang w:val="fr-BE"/>
        </w:rPr>
        <w:t xml:space="preserve"> </w:t>
      </w:r>
    </w:p>
    <w:p w:rsidR="001866CC" w:rsidRPr="00AE6DCB" w:rsidRDefault="001866CC" w:rsidP="003A11DF">
      <w:pPr>
        <w:jc w:val="both"/>
        <w:rPr>
          <w:sz w:val="24"/>
          <w:szCs w:val="24"/>
          <w:lang w:val="fr-BE"/>
        </w:rPr>
      </w:pPr>
      <w:bookmarkStart w:id="29" w:name="_Toc362356426"/>
      <w:r w:rsidRPr="00AE6DCB">
        <w:rPr>
          <w:sz w:val="24"/>
          <w:szCs w:val="24"/>
          <w:lang w:val="fr-BE"/>
        </w:rPr>
        <w:t>A fin juin 2013, les mises en consommation cumulées ont progressé de 28,7 p.c. en valeur (658.972,0 contre 511.944,6 MBIF)  et de 7,2 p.c. en volume (357.681 contre 333.668 T), en liaison avec l’augmentation d’importation des biens de production (268.539,5 contre 232.911,6 MBIF et 247.290 contre 236.398 T), d’équipement (174.141,4 contre 119.928,5 MBIF et 13.972 contre 16.568 T) et de consommation (216.291,1 contre 159.104,5 MBIF et 96.419 contre 80.702 T).</w:t>
      </w:r>
    </w:p>
    <w:p w:rsidR="001866CC" w:rsidRPr="00AE6DCB" w:rsidRDefault="001866CC" w:rsidP="003A11DF">
      <w:pPr>
        <w:jc w:val="both"/>
        <w:rPr>
          <w:sz w:val="24"/>
          <w:szCs w:val="24"/>
          <w:lang w:val="fr-BE"/>
        </w:rPr>
      </w:pPr>
      <w:r w:rsidRPr="00AE6DCB">
        <w:rPr>
          <w:sz w:val="24"/>
          <w:szCs w:val="24"/>
          <w:lang w:val="fr-BE"/>
        </w:rPr>
        <w:t>L’augmentation des importations des biens de production a porté principalement sur l’importation des biens destinés à la métallurgie (26.882,3 contre 24.139,6 MBIF et 20.465 contre 16.980 T), à l’agriculture et à l’élevage (14.881,4 contre 11.391,6 MBIF et 11.915 contre 11.903 T), des huiles minérales (130.165,1 contre 92.479,6 MBIF et 62.721 contre 51.613 T) et des autres biens de production (19.523,6 contre 13.214,1 BIF et 5.267 contre 4.838 T).</w:t>
      </w:r>
    </w:p>
    <w:p w:rsidR="001866CC" w:rsidRPr="00AE6DCB" w:rsidRDefault="001866CC" w:rsidP="003A11DF">
      <w:pPr>
        <w:jc w:val="both"/>
        <w:rPr>
          <w:sz w:val="24"/>
          <w:szCs w:val="24"/>
          <w:lang w:val="fr-BE"/>
        </w:rPr>
      </w:pPr>
      <w:r w:rsidRPr="00AE6DCB">
        <w:rPr>
          <w:sz w:val="24"/>
          <w:szCs w:val="24"/>
          <w:lang w:val="fr-BE"/>
        </w:rPr>
        <w:t xml:space="preserve">La hausse de l’importation des biens d’équipement a été </w:t>
      </w:r>
      <w:r w:rsidR="00994369">
        <w:rPr>
          <w:sz w:val="24"/>
          <w:szCs w:val="24"/>
          <w:lang w:val="fr-BE"/>
        </w:rPr>
        <w:t>tirée</w:t>
      </w:r>
      <w:r w:rsidRPr="00AE6DCB">
        <w:rPr>
          <w:sz w:val="24"/>
          <w:szCs w:val="24"/>
          <w:lang w:val="fr-BE"/>
        </w:rPr>
        <w:t xml:space="preserve"> par l’achat des chaudières et engins mécaniques (58.018,5 contre 45.184,0 MBIF), des tracteurs, véhicules et engins pour le transport (77.629,9 contre 27.979,0 MBIF)  ainsi que les autres biens d’équipement (9.910,6 contre 8.513,4 MBIF). En revanche, le volume total des importations des biens d’équipement a baissé, revenant de 16.568 à 13.972 T.</w:t>
      </w:r>
    </w:p>
    <w:p w:rsidR="001866CC" w:rsidRPr="00AE6DCB" w:rsidRDefault="001866CC" w:rsidP="003A11DF">
      <w:pPr>
        <w:jc w:val="both"/>
        <w:rPr>
          <w:sz w:val="24"/>
          <w:szCs w:val="24"/>
          <w:lang w:val="fr-BE"/>
        </w:rPr>
      </w:pPr>
      <w:r w:rsidRPr="00AE6DCB">
        <w:rPr>
          <w:sz w:val="24"/>
          <w:szCs w:val="24"/>
          <w:lang w:val="fr-BE"/>
        </w:rPr>
        <w:t xml:space="preserve">L’accroissement des approvisionnements en biens de consommation a été observé </w:t>
      </w:r>
      <w:r w:rsidRPr="00AE6DCB">
        <w:rPr>
          <w:sz w:val="24"/>
          <w:szCs w:val="24"/>
          <w:lang w:val="fr-BE"/>
        </w:rPr>
        <w:lastRenderedPageBreak/>
        <w:t>au niveau  des biens durables (76.782,5 contre 63.625,3 MBIF) et non durables (139.508,6 contre 95.479,2 MBIF et 78.979 contre 62.763 T). L’augmentation en valeur des biens de consommation durables a concerné tous les éléments qui composent ce groupe alors qu’en volume, les importations des textiles et des autres biens durables ont baissé respectivement de 2,7 et de 3,8 p.c. De son côté, la progression des importations en biens de consommation non durables a porté sur les produits alimentaires (84.708,5 contre 34.076,9 MBIF et 69.994 contre 54.811 T), les produits pharmaceutiques et autres biens non durables ayant connu une baisse.</w:t>
      </w:r>
    </w:p>
    <w:p w:rsidR="00FF75FE" w:rsidRPr="00AE6DCB" w:rsidRDefault="001866CC" w:rsidP="003A11DF">
      <w:pPr>
        <w:jc w:val="both"/>
        <w:rPr>
          <w:sz w:val="24"/>
          <w:szCs w:val="24"/>
          <w:lang w:val="fr-BE"/>
        </w:rPr>
      </w:pPr>
      <w:r w:rsidRPr="00AE6DCB">
        <w:rPr>
          <w:sz w:val="24"/>
          <w:szCs w:val="24"/>
          <w:lang w:val="fr-BE"/>
        </w:rPr>
        <w:t>Par rapport au mois précédent, les importations du mois de juin 2013 ont augmenté de 2,5 p.c. en valeur et de 5,1 p.c. en volume, passant respectivement de 103.053,7 à 105.596,3 MBIF  et de 55.502 à 58.317 T.</w:t>
      </w:r>
    </w:p>
    <w:p w:rsidR="0096134B" w:rsidRPr="009020D3" w:rsidRDefault="0096134B" w:rsidP="009020D3">
      <w:pPr>
        <w:pStyle w:val="Titre"/>
        <w:jc w:val="left"/>
        <w:rPr>
          <w:color w:val="0070C0"/>
          <w:sz w:val="24"/>
          <w:u w:val="none"/>
        </w:rPr>
      </w:pPr>
      <w:r w:rsidRPr="009020D3">
        <w:rPr>
          <w:color w:val="0070C0"/>
          <w:sz w:val="24"/>
          <w:u w:val="none"/>
        </w:rPr>
        <w:t>VII. TAUX DE CHANGE</w:t>
      </w:r>
      <w:bookmarkEnd w:id="29"/>
    </w:p>
    <w:p w:rsidR="00324822" w:rsidRPr="00AE6DCB" w:rsidRDefault="00324822" w:rsidP="003A11DF">
      <w:pPr>
        <w:spacing w:after="100" w:afterAutospacing="1"/>
        <w:ind w:right="-23"/>
        <w:jc w:val="both"/>
        <w:rPr>
          <w:sz w:val="24"/>
          <w:szCs w:val="24"/>
          <w:lang w:val="fr-BE"/>
        </w:rPr>
      </w:pPr>
      <w:r w:rsidRPr="00AE6DCB">
        <w:rPr>
          <w:sz w:val="24"/>
          <w:szCs w:val="24"/>
          <w:lang w:val="fr-BE"/>
        </w:rPr>
        <w:t xml:space="preserve">Par rapport au dollar américain, le taux de change moyen de juin 2013 s’est établi à 1.537,62 contre 1.419,33 BIF enregistré au même mois de l’année précédente, soit une dépréciation de 8,3 p.c. </w:t>
      </w:r>
    </w:p>
    <w:p w:rsidR="00324822" w:rsidRPr="00AE6DCB" w:rsidRDefault="00324822" w:rsidP="003A11DF">
      <w:pPr>
        <w:spacing w:after="100" w:afterAutospacing="1"/>
        <w:ind w:right="-23"/>
        <w:jc w:val="both"/>
        <w:rPr>
          <w:sz w:val="24"/>
          <w:szCs w:val="24"/>
          <w:lang w:val="fr-BE"/>
        </w:rPr>
      </w:pPr>
      <w:r w:rsidRPr="00AE6DCB">
        <w:rPr>
          <w:sz w:val="24"/>
          <w:szCs w:val="24"/>
          <w:lang w:val="fr-BE"/>
        </w:rPr>
        <w:t>En revanche, le franc Burundi s’est légèrement apprécié de 0,6 p.c. par rapport au mois de mai 2013, se fixant à 1.537,62 contre 1.546,82 BIF.</w:t>
      </w:r>
    </w:p>
    <w:p w:rsidR="007D01C8" w:rsidRPr="00AE6DCB" w:rsidRDefault="00324822" w:rsidP="003A11DF">
      <w:pPr>
        <w:spacing w:after="100" w:afterAutospacing="1"/>
        <w:ind w:right="-23"/>
        <w:jc w:val="both"/>
        <w:rPr>
          <w:sz w:val="24"/>
          <w:szCs w:val="24"/>
          <w:lang w:val="fr-BE"/>
        </w:rPr>
      </w:pPr>
      <w:r w:rsidRPr="00AE6DCB">
        <w:rPr>
          <w:sz w:val="24"/>
          <w:szCs w:val="24"/>
          <w:lang w:val="fr-BE"/>
        </w:rPr>
        <w:t>En fin de période, le franc Burundi s’est déprécié de 6,7 p.c. face au dollar américain, se fixant à 1.536,78 contre 1.439,84 BIF à fin juin 2012 au moment où il s’est apprécié de 0,2 p.c. par rapport à fin mai 2013 (1.536,78 contre 1.539,84 BIF).</w:t>
      </w:r>
    </w:p>
    <w:p w:rsidR="0019548F" w:rsidRPr="00AE6DCB" w:rsidRDefault="007D01C8" w:rsidP="000B027F">
      <w:pPr>
        <w:pStyle w:val="Titre1"/>
        <w:rPr>
          <w:rFonts w:asciiTheme="minorHAnsi" w:hAnsiTheme="minorHAnsi" w:cs="Times New Roman"/>
          <w:color w:val="0070C0"/>
          <w:sz w:val="24"/>
          <w:szCs w:val="24"/>
        </w:rPr>
      </w:pPr>
      <w:bookmarkStart w:id="30" w:name="_Toc364839954"/>
      <w:r w:rsidRPr="00AE6DCB">
        <w:rPr>
          <w:rFonts w:asciiTheme="minorHAnsi" w:hAnsiTheme="minorHAnsi" w:cs="Times New Roman"/>
          <w:color w:val="0070C0"/>
          <w:sz w:val="24"/>
          <w:szCs w:val="24"/>
        </w:rPr>
        <w:lastRenderedPageBreak/>
        <w:t>VIII. PRINCIPAUX INDICATEURS D’ACTIVITE DU SECTEUR BANCAIRE</w:t>
      </w:r>
      <w:bookmarkEnd w:id="30"/>
    </w:p>
    <w:p w:rsidR="007D01C8" w:rsidRPr="00AE6DCB" w:rsidRDefault="007D01C8" w:rsidP="009020D3">
      <w:pPr>
        <w:pStyle w:val="Titre2"/>
        <w:spacing w:after="120"/>
        <w:jc w:val="both"/>
        <w:rPr>
          <w:rFonts w:asciiTheme="minorHAnsi" w:hAnsiTheme="minorHAnsi" w:cs="Times New Roman"/>
          <w:color w:val="0070C0"/>
          <w:sz w:val="24"/>
          <w:szCs w:val="24"/>
        </w:rPr>
      </w:pPr>
      <w:r w:rsidRPr="00AE6DCB">
        <w:rPr>
          <w:rFonts w:asciiTheme="minorHAnsi" w:hAnsiTheme="minorHAnsi"/>
          <w:color w:val="0070C0"/>
          <w:sz w:val="24"/>
          <w:szCs w:val="24"/>
        </w:rPr>
        <w:t xml:space="preserve"> </w:t>
      </w:r>
      <w:bookmarkStart w:id="31" w:name="_Toc364839955"/>
      <w:r w:rsidRPr="00AE6DCB">
        <w:rPr>
          <w:rFonts w:asciiTheme="minorHAnsi" w:hAnsiTheme="minorHAnsi"/>
          <w:color w:val="0070C0"/>
          <w:sz w:val="24"/>
          <w:szCs w:val="24"/>
        </w:rPr>
        <w:t>Principaux Emplois</w:t>
      </w:r>
      <w:bookmarkEnd w:id="31"/>
      <w:r w:rsidRPr="00AE6DCB">
        <w:rPr>
          <w:rFonts w:asciiTheme="minorHAnsi" w:hAnsiTheme="minorHAnsi"/>
          <w:color w:val="0070C0"/>
          <w:sz w:val="24"/>
          <w:szCs w:val="24"/>
        </w:rPr>
        <w:t xml:space="preserve"> </w:t>
      </w:r>
    </w:p>
    <w:p w:rsidR="007D01C8" w:rsidRPr="00AE6DCB" w:rsidRDefault="007D01C8" w:rsidP="000B027F">
      <w:pPr>
        <w:pStyle w:val="Titre"/>
        <w:jc w:val="both"/>
        <w:rPr>
          <w:rFonts w:asciiTheme="minorHAnsi" w:hAnsiTheme="minorHAnsi"/>
          <w:b w:val="0"/>
          <w:bCs w:val="0"/>
          <w:sz w:val="24"/>
          <w:u w:val="none"/>
        </w:rPr>
      </w:pPr>
      <w:r w:rsidRPr="00AE6DCB">
        <w:rPr>
          <w:rFonts w:asciiTheme="minorHAnsi" w:hAnsiTheme="minorHAnsi"/>
          <w:b w:val="0"/>
          <w:bCs w:val="0"/>
          <w:sz w:val="24"/>
          <w:u w:val="none"/>
        </w:rPr>
        <w:t>A fin juin 2013, les principaux emplois consolidés de l’ensemble du secteur bancaire ont augmenté par rapport à fin juin 2012, passant de 924 895,3 à 1 018 298,8 MBIF, soit un accroissement de 10,1 p.c</w:t>
      </w:r>
      <w:proofErr w:type="gramStart"/>
      <w:r w:rsidRPr="00AE6DCB">
        <w:rPr>
          <w:rFonts w:asciiTheme="minorHAnsi" w:hAnsiTheme="minorHAnsi"/>
          <w:b w:val="0"/>
          <w:bCs w:val="0"/>
          <w:sz w:val="24"/>
          <w:u w:val="none"/>
        </w:rPr>
        <w:t>.</w:t>
      </w:r>
      <w:r w:rsidR="00245DC7">
        <w:rPr>
          <w:rFonts w:asciiTheme="minorHAnsi" w:hAnsiTheme="minorHAnsi"/>
          <w:b w:val="0"/>
          <w:bCs w:val="0"/>
          <w:sz w:val="24"/>
          <w:u w:val="none"/>
        </w:rPr>
        <w:t>.</w:t>
      </w:r>
      <w:proofErr w:type="gramEnd"/>
      <w:r w:rsidRPr="00AE6DCB">
        <w:rPr>
          <w:rFonts w:asciiTheme="minorHAnsi" w:hAnsiTheme="minorHAnsi"/>
          <w:b w:val="0"/>
          <w:bCs w:val="0"/>
          <w:sz w:val="24"/>
          <w:u w:val="none"/>
        </w:rPr>
        <w:t xml:space="preserve"> Cette évolution est principalement liée </w:t>
      </w:r>
      <w:r w:rsidR="00571585">
        <w:rPr>
          <w:rFonts w:asciiTheme="minorHAnsi" w:hAnsiTheme="minorHAnsi"/>
          <w:b w:val="0"/>
          <w:bCs w:val="0"/>
          <w:sz w:val="24"/>
          <w:u w:val="none"/>
        </w:rPr>
        <w:t xml:space="preserve"> </w:t>
      </w:r>
      <w:r w:rsidRPr="00AE6DCB">
        <w:rPr>
          <w:rFonts w:asciiTheme="minorHAnsi" w:hAnsiTheme="minorHAnsi"/>
          <w:b w:val="0"/>
          <w:bCs w:val="0"/>
          <w:sz w:val="24"/>
          <w:u w:val="none"/>
        </w:rPr>
        <w:t>à l’</w:t>
      </w:r>
      <w:r w:rsidR="00571585">
        <w:rPr>
          <w:rFonts w:asciiTheme="minorHAnsi" w:hAnsiTheme="minorHAnsi"/>
          <w:b w:val="0"/>
          <w:bCs w:val="0"/>
          <w:sz w:val="24"/>
          <w:u w:val="none"/>
        </w:rPr>
        <w:t>augmentation</w:t>
      </w:r>
      <w:r w:rsidRPr="00AE6DCB">
        <w:rPr>
          <w:rFonts w:asciiTheme="minorHAnsi" w:hAnsiTheme="minorHAnsi"/>
          <w:b w:val="0"/>
          <w:bCs w:val="0"/>
          <w:sz w:val="24"/>
          <w:u w:val="none"/>
        </w:rPr>
        <w:t xml:space="preserve">  de la  liquidité  (+19,2 p.c.) et de la distribution des crédits (+6,2 p.c.).</w:t>
      </w:r>
    </w:p>
    <w:p w:rsidR="007D01C8" w:rsidRPr="00AE6DCB" w:rsidRDefault="007D01C8" w:rsidP="005710F9">
      <w:pPr>
        <w:pStyle w:val="Titre2"/>
        <w:spacing w:after="120"/>
        <w:jc w:val="both"/>
        <w:rPr>
          <w:rFonts w:asciiTheme="minorHAnsi" w:hAnsiTheme="minorHAnsi"/>
          <w:color w:val="0070C0"/>
          <w:sz w:val="24"/>
          <w:szCs w:val="24"/>
        </w:rPr>
      </w:pPr>
      <w:bookmarkStart w:id="32" w:name="_Toc364839956"/>
      <w:r w:rsidRPr="00AE6DCB">
        <w:rPr>
          <w:rFonts w:asciiTheme="minorHAnsi" w:hAnsiTheme="minorHAnsi"/>
          <w:color w:val="0070C0"/>
          <w:sz w:val="24"/>
          <w:szCs w:val="24"/>
        </w:rPr>
        <w:t>Principales Ressources</w:t>
      </w:r>
      <w:bookmarkEnd w:id="32"/>
      <w:r w:rsidRPr="00AE6DCB">
        <w:rPr>
          <w:rFonts w:asciiTheme="minorHAnsi" w:hAnsiTheme="minorHAnsi"/>
          <w:color w:val="0070C0"/>
          <w:sz w:val="24"/>
          <w:szCs w:val="24"/>
        </w:rPr>
        <w:t> </w:t>
      </w:r>
    </w:p>
    <w:p w:rsidR="007D01C8" w:rsidRPr="00AE6DCB" w:rsidRDefault="007D01C8" w:rsidP="003A11DF">
      <w:pPr>
        <w:pStyle w:val="Titre"/>
        <w:jc w:val="both"/>
        <w:rPr>
          <w:rFonts w:asciiTheme="minorHAnsi" w:hAnsiTheme="minorHAnsi"/>
          <w:b w:val="0"/>
          <w:bCs w:val="0"/>
          <w:sz w:val="24"/>
          <w:u w:val="none"/>
        </w:rPr>
      </w:pPr>
      <w:r w:rsidRPr="00AE6DCB">
        <w:rPr>
          <w:rFonts w:asciiTheme="minorHAnsi" w:hAnsiTheme="minorHAnsi"/>
          <w:b w:val="0"/>
          <w:bCs w:val="0"/>
          <w:sz w:val="24"/>
          <w:u w:val="none"/>
        </w:rPr>
        <w:t>S’établissant à 808 765,9 contre 746 679,7 MBIF à fin juin 2012, les principales ressources du secteur ont enregistré une  progression de 8,3 p.c., liée principalement à l’accroissement des ressources provenant de la clientèle (+19,5 p.c.).</w:t>
      </w:r>
    </w:p>
    <w:p w:rsidR="007D01C8" w:rsidRPr="00AE6DCB" w:rsidRDefault="007D01C8" w:rsidP="009020D3">
      <w:pPr>
        <w:pStyle w:val="Titre2"/>
        <w:spacing w:after="120"/>
        <w:jc w:val="both"/>
        <w:rPr>
          <w:rFonts w:asciiTheme="minorHAnsi" w:hAnsiTheme="minorHAnsi"/>
          <w:color w:val="0070C0"/>
          <w:sz w:val="24"/>
          <w:szCs w:val="24"/>
        </w:rPr>
      </w:pPr>
      <w:bookmarkStart w:id="33" w:name="_Toc364839957"/>
      <w:r w:rsidRPr="00AE6DCB">
        <w:rPr>
          <w:rFonts w:asciiTheme="minorHAnsi" w:hAnsiTheme="minorHAnsi"/>
          <w:color w:val="0070C0"/>
          <w:sz w:val="24"/>
          <w:szCs w:val="24"/>
        </w:rPr>
        <w:t>Créances compromises</w:t>
      </w:r>
      <w:bookmarkEnd w:id="33"/>
    </w:p>
    <w:p w:rsidR="007D01C8" w:rsidRPr="00AE6DCB" w:rsidRDefault="007D01C8" w:rsidP="003A11DF">
      <w:pPr>
        <w:pStyle w:val="Titre"/>
        <w:jc w:val="both"/>
        <w:rPr>
          <w:rFonts w:asciiTheme="minorHAnsi" w:hAnsiTheme="minorHAnsi"/>
          <w:b w:val="0"/>
          <w:bCs w:val="0"/>
          <w:sz w:val="24"/>
          <w:u w:val="none"/>
        </w:rPr>
      </w:pPr>
      <w:r w:rsidRPr="00AE6DCB">
        <w:rPr>
          <w:rFonts w:asciiTheme="minorHAnsi" w:hAnsiTheme="minorHAnsi"/>
          <w:b w:val="0"/>
          <w:bCs w:val="0"/>
          <w:sz w:val="24"/>
          <w:u w:val="none"/>
        </w:rPr>
        <w:t xml:space="preserve">Passant de 47 288,9 à 68 681,4 MBIF de fin juin 2012 à fin juin 2013, les créances en souffrance de l’ensemble du secteur bancaire ont augmenté de 45,2 p.c. Ainsi, le taux de détérioration du portefeuille crédits (impayés /total crédits)  du secteur s’est inscrit en hausse, passant de 7,3 à 10,0 p.c. d’une année à l’autre. </w:t>
      </w:r>
    </w:p>
    <w:p w:rsidR="007D01C8" w:rsidRPr="00AE6DCB" w:rsidRDefault="007D01C8" w:rsidP="003A11DF">
      <w:pPr>
        <w:pStyle w:val="Titre"/>
        <w:ind w:firstLine="708"/>
        <w:jc w:val="both"/>
        <w:rPr>
          <w:rFonts w:asciiTheme="minorHAnsi" w:hAnsiTheme="minorHAnsi"/>
          <w:b w:val="0"/>
          <w:bCs w:val="0"/>
          <w:sz w:val="24"/>
          <w:u w:val="none"/>
        </w:rPr>
      </w:pPr>
    </w:p>
    <w:p w:rsidR="007D01C8" w:rsidRPr="00AE6DCB" w:rsidRDefault="007D01C8" w:rsidP="003A11DF">
      <w:pPr>
        <w:pStyle w:val="Titre"/>
        <w:jc w:val="both"/>
        <w:rPr>
          <w:rFonts w:asciiTheme="minorHAnsi" w:hAnsiTheme="minorHAnsi"/>
          <w:b w:val="0"/>
          <w:bCs w:val="0"/>
          <w:sz w:val="24"/>
          <w:u w:val="none"/>
        </w:rPr>
      </w:pPr>
      <w:r w:rsidRPr="00AE6DCB">
        <w:rPr>
          <w:rFonts w:asciiTheme="minorHAnsi" w:hAnsiTheme="minorHAnsi"/>
          <w:b w:val="0"/>
          <w:bCs w:val="0"/>
          <w:sz w:val="24"/>
          <w:u w:val="none"/>
        </w:rPr>
        <w:t xml:space="preserve">Cette situation a été accentuée par les retards de règlement des marchés publics qui se répercutent sur le remboursement </w:t>
      </w:r>
      <w:r w:rsidRPr="00AE6DCB">
        <w:rPr>
          <w:rFonts w:asciiTheme="minorHAnsi" w:hAnsiTheme="minorHAnsi"/>
          <w:b w:val="0"/>
          <w:bCs w:val="0"/>
          <w:sz w:val="24"/>
          <w:u w:val="none"/>
        </w:rPr>
        <w:lastRenderedPageBreak/>
        <w:t>des créances sur les clients fournisseurs de l’Etat, d’une part, et par les conséquences de l’incendie du marché central de Bujumbura sur le remboursement des créances sur les commerçants sinistrés, d’autre part.</w:t>
      </w:r>
    </w:p>
    <w:p w:rsidR="007D01C8" w:rsidRPr="00AE6DCB" w:rsidRDefault="007D01C8" w:rsidP="009020D3">
      <w:pPr>
        <w:pStyle w:val="Titre2"/>
        <w:spacing w:after="120"/>
        <w:jc w:val="both"/>
        <w:rPr>
          <w:rFonts w:asciiTheme="minorHAnsi" w:hAnsiTheme="minorHAnsi"/>
          <w:color w:val="0070C0"/>
          <w:sz w:val="24"/>
          <w:szCs w:val="24"/>
        </w:rPr>
      </w:pPr>
      <w:bookmarkStart w:id="34" w:name="_Toc364839958"/>
      <w:r w:rsidRPr="00AE6DCB">
        <w:rPr>
          <w:rFonts w:asciiTheme="minorHAnsi" w:hAnsiTheme="minorHAnsi"/>
          <w:color w:val="0070C0"/>
          <w:sz w:val="24"/>
          <w:szCs w:val="24"/>
        </w:rPr>
        <w:t>Résultat</w:t>
      </w:r>
      <w:bookmarkEnd w:id="34"/>
    </w:p>
    <w:p w:rsidR="00FF75FE" w:rsidRPr="00AE6DCB" w:rsidRDefault="007D01C8" w:rsidP="003A11DF">
      <w:pPr>
        <w:pStyle w:val="Titre"/>
        <w:jc w:val="both"/>
        <w:rPr>
          <w:rFonts w:asciiTheme="minorHAnsi" w:hAnsiTheme="minorHAnsi"/>
          <w:b w:val="0"/>
          <w:bCs w:val="0"/>
          <w:sz w:val="24"/>
          <w:u w:val="none"/>
        </w:rPr>
      </w:pPr>
      <w:r w:rsidRPr="00AE6DCB">
        <w:rPr>
          <w:rFonts w:asciiTheme="minorHAnsi" w:hAnsiTheme="minorHAnsi"/>
          <w:b w:val="0"/>
          <w:bCs w:val="0"/>
          <w:sz w:val="24"/>
          <w:u w:val="none"/>
        </w:rPr>
        <w:t xml:space="preserve">Le résultat cumulé de l’ensemble du secteur bancaire qui est la somme du résultat de  l’exercice en cours et du report à nouveau a diminué de 19,5 p.c., revenant de 12 620,3 à 10 158,7 MBIF de fin juin 2012 à fin juin 2013. Cette diminution est essentiellement liée à l’augmentation des dotations aux provisions et des frais généraux enregistrés par les banques commerciales. </w:t>
      </w:r>
    </w:p>
    <w:p w:rsidR="007D01C8" w:rsidRPr="00AE6DCB" w:rsidRDefault="007D01C8" w:rsidP="009020D3">
      <w:pPr>
        <w:pStyle w:val="Titre2"/>
        <w:spacing w:after="120"/>
        <w:jc w:val="both"/>
        <w:rPr>
          <w:rFonts w:asciiTheme="minorHAnsi" w:hAnsiTheme="minorHAnsi"/>
          <w:color w:val="0070C0"/>
          <w:sz w:val="24"/>
          <w:szCs w:val="24"/>
        </w:rPr>
      </w:pPr>
      <w:bookmarkStart w:id="35" w:name="_Toc364839959"/>
      <w:r w:rsidRPr="00AE6DCB">
        <w:rPr>
          <w:rFonts w:asciiTheme="minorHAnsi" w:hAnsiTheme="minorHAnsi"/>
          <w:color w:val="0070C0"/>
          <w:sz w:val="24"/>
          <w:szCs w:val="24"/>
        </w:rPr>
        <w:t>Normes prudentielles</w:t>
      </w:r>
      <w:bookmarkEnd w:id="35"/>
    </w:p>
    <w:p w:rsidR="007D01C8" w:rsidRPr="00AE6DCB" w:rsidRDefault="007D01C8" w:rsidP="003A11DF">
      <w:pPr>
        <w:pStyle w:val="Titre"/>
        <w:jc w:val="both"/>
        <w:rPr>
          <w:rFonts w:asciiTheme="minorHAnsi" w:hAnsiTheme="minorHAnsi"/>
          <w:b w:val="0"/>
          <w:bCs w:val="0"/>
          <w:sz w:val="24"/>
          <w:u w:val="none"/>
        </w:rPr>
      </w:pPr>
      <w:r w:rsidRPr="00AE6DCB">
        <w:rPr>
          <w:rFonts w:asciiTheme="minorHAnsi" w:hAnsiTheme="minorHAnsi"/>
          <w:b w:val="0"/>
          <w:bCs w:val="0"/>
          <w:sz w:val="24"/>
          <w:u w:val="none"/>
        </w:rPr>
        <w:t>Les normes prudentielles à fin juin 2013 se sont établies au-dessus des limites réglementaires. Comparés à ceux de  l’exercice précédent, les fonds propres, le ratio de solvabilité et le coefficient de liquidité ont augmenté respectivement de 24,1 ; 7,5 et 3,5 p.c. d’une année à l’autre. En revanche, le rapport entre les ressources stables et les emplois immobilisés a diminué de 4,7 p.c.</w:t>
      </w:r>
    </w:p>
    <w:p w:rsidR="007D01C8" w:rsidRPr="00AE6DCB" w:rsidRDefault="007D01C8" w:rsidP="003A11DF">
      <w:pPr>
        <w:spacing w:after="100" w:afterAutospacing="1"/>
        <w:ind w:right="-23"/>
        <w:jc w:val="both"/>
        <w:rPr>
          <w:sz w:val="24"/>
          <w:szCs w:val="24"/>
          <w:lang w:val="fr-BE"/>
        </w:rPr>
      </w:pPr>
    </w:p>
    <w:p w:rsidR="007D01C8" w:rsidRPr="00AE6DCB" w:rsidRDefault="007D01C8" w:rsidP="003A11DF">
      <w:pPr>
        <w:spacing w:after="100" w:afterAutospacing="1"/>
        <w:ind w:right="-23"/>
        <w:jc w:val="both"/>
        <w:rPr>
          <w:sz w:val="24"/>
          <w:szCs w:val="24"/>
          <w:lang w:val="fr-BE"/>
        </w:rPr>
      </w:pPr>
    </w:p>
    <w:p w:rsidR="007D01C8" w:rsidRPr="00AE6DCB" w:rsidRDefault="007D01C8" w:rsidP="003A11DF">
      <w:pPr>
        <w:spacing w:after="100" w:afterAutospacing="1"/>
        <w:ind w:right="-23"/>
        <w:jc w:val="both"/>
        <w:rPr>
          <w:sz w:val="24"/>
          <w:szCs w:val="24"/>
          <w:lang w:val="fr-BE"/>
        </w:rPr>
      </w:pPr>
    </w:p>
    <w:p w:rsidR="00F665B4" w:rsidRPr="00AE6DCB" w:rsidRDefault="00F665B4" w:rsidP="003A11DF">
      <w:pPr>
        <w:spacing w:after="100" w:afterAutospacing="1"/>
        <w:ind w:right="-23"/>
        <w:jc w:val="both"/>
        <w:rPr>
          <w:sz w:val="24"/>
          <w:szCs w:val="24"/>
          <w:lang w:val="fr-BE"/>
        </w:rPr>
        <w:sectPr w:rsidR="00F665B4" w:rsidRPr="00AE6DCB" w:rsidSect="00FF75FE">
          <w:headerReference w:type="even" r:id="rId15"/>
          <w:headerReference w:type="default" r:id="rId16"/>
          <w:footerReference w:type="even" r:id="rId17"/>
          <w:footerReference w:type="default" r:id="rId18"/>
          <w:pgSz w:w="11906" w:h="16838"/>
          <w:pgMar w:top="1276" w:right="1274" w:bottom="1417" w:left="1417" w:header="708" w:footer="708" w:gutter="0"/>
          <w:pgNumType w:start="1"/>
          <w:cols w:num="2" w:space="708"/>
          <w:docGrid w:linePitch="360"/>
        </w:sectPr>
      </w:pPr>
    </w:p>
    <w:p w:rsidR="00FF75FE" w:rsidRPr="00AE6DCB" w:rsidRDefault="00FF75FE" w:rsidP="003A11DF">
      <w:pPr>
        <w:spacing w:after="100" w:afterAutospacing="1"/>
        <w:ind w:right="-23"/>
        <w:jc w:val="both"/>
        <w:rPr>
          <w:color w:val="0070C0"/>
          <w:sz w:val="24"/>
          <w:szCs w:val="24"/>
          <w:lang w:val="fr-BE"/>
        </w:rPr>
      </w:pPr>
    </w:p>
    <w:p w:rsidR="000B027F" w:rsidRDefault="000B027F" w:rsidP="00461F1B">
      <w:pPr>
        <w:spacing w:after="100" w:afterAutospacing="1"/>
        <w:ind w:right="-23"/>
        <w:rPr>
          <w:b/>
          <w:color w:val="0070C0"/>
          <w:sz w:val="24"/>
          <w:szCs w:val="24"/>
          <w:lang w:val="fr-BE"/>
        </w:rPr>
      </w:pPr>
    </w:p>
    <w:p w:rsidR="000B027F" w:rsidRDefault="000B027F" w:rsidP="00461F1B">
      <w:pPr>
        <w:spacing w:after="100" w:afterAutospacing="1"/>
        <w:ind w:right="-23"/>
        <w:rPr>
          <w:b/>
          <w:color w:val="0070C0"/>
          <w:sz w:val="24"/>
          <w:szCs w:val="24"/>
          <w:lang w:val="fr-BE"/>
        </w:rPr>
      </w:pPr>
    </w:p>
    <w:p w:rsidR="009020D3" w:rsidRDefault="009020D3" w:rsidP="00461F1B">
      <w:pPr>
        <w:spacing w:after="100" w:afterAutospacing="1"/>
        <w:ind w:right="-23"/>
        <w:rPr>
          <w:b/>
          <w:color w:val="0070C0"/>
          <w:sz w:val="24"/>
          <w:szCs w:val="24"/>
          <w:lang w:val="fr-BE"/>
        </w:rPr>
      </w:pPr>
    </w:p>
    <w:p w:rsidR="009020D3" w:rsidRDefault="009020D3" w:rsidP="00461F1B">
      <w:pPr>
        <w:spacing w:after="100" w:afterAutospacing="1"/>
        <w:ind w:right="-23"/>
        <w:rPr>
          <w:b/>
          <w:color w:val="0070C0"/>
          <w:sz w:val="24"/>
          <w:szCs w:val="24"/>
          <w:lang w:val="fr-BE"/>
        </w:rPr>
      </w:pPr>
    </w:p>
    <w:p w:rsidR="007D01C8" w:rsidRPr="00571585" w:rsidRDefault="00F665B4" w:rsidP="00461F1B">
      <w:pPr>
        <w:spacing w:after="100" w:afterAutospacing="1"/>
        <w:ind w:right="-23"/>
        <w:rPr>
          <w:b/>
          <w:color w:val="0070C0"/>
          <w:sz w:val="24"/>
          <w:szCs w:val="24"/>
          <w:lang w:val="fr-BE"/>
        </w:rPr>
        <w:sectPr w:rsidR="007D01C8" w:rsidRPr="00571585" w:rsidSect="00F665B4">
          <w:headerReference w:type="even" r:id="rId19"/>
          <w:headerReference w:type="default" r:id="rId20"/>
          <w:type w:val="continuous"/>
          <w:pgSz w:w="11906" w:h="16838"/>
          <w:pgMar w:top="1276" w:right="1274" w:bottom="1417" w:left="1417" w:header="708" w:footer="708" w:gutter="0"/>
          <w:pgNumType w:start="1"/>
          <w:cols w:space="708"/>
          <w:docGrid w:linePitch="360"/>
        </w:sectPr>
      </w:pPr>
      <w:r w:rsidRPr="00571585">
        <w:rPr>
          <w:b/>
          <w:color w:val="0070C0"/>
          <w:sz w:val="24"/>
          <w:szCs w:val="24"/>
          <w:lang w:val="fr-BE"/>
        </w:rPr>
        <w:lastRenderedPageBreak/>
        <w:t xml:space="preserve">PRINCIPAUX INDICATEURS D’ACTIVITE DU SECTEUR BANCAIRE </w:t>
      </w:r>
    </w:p>
    <w:p w:rsidR="007D01C8" w:rsidRPr="00AE6DCB" w:rsidRDefault="000B027F" w:rsidP="003A11DF">
      <w:pPr>
        <w:spacing w:after="100" w:afterAutospacing="1"/>
        <w:ind w:right="-23"/>
        <w:jc w:val="both"/>
        <w:rPr>
          <w:sz w:val="24"/>
          <w:szCs w:val="24"/>
          <w:lang w:val="fr-BE"/>
        </w:rPr>
        <w:sectPr w:rsidR="007D01C8" w:rsidRPr="00AE6DCB" w:rsidSect="00FF75FE">
          <w:headerReference w:type="default" r:id="rId21"/>
          <w:type w:val="continuous"/>
          <w:pgSz w:w="11906" w:h="16838"/>
          <w:pgMar w:top="1276" w:right="1274" w:bottom="1417" w:left="1417" w:header="708" w:footer="708" w:gutter="0"/>
          <w:pgNumType w:start="7"/>
          <w:cols w:space="708"/>
          <w:docGrid w:linePitch="360"/>
        </w:sectPr>
      </w:pPr>
      <w:r w:rsidRPr="00AE6DCB">
        <w:rPr>
          <w:sz w:val="24"/>
          <w:szCs w:val="24"/>
          <w:lang w:val="fr-BE"/>
        </w:rPr>
        <w:object w:dxaOrig="21942" w:dyaOrig="9472">
          <v:shape id="_x0000_i1027" type="#_x0000_t75" style="width:484.8pt;height:313.2pt" o:ole="">
            <v:imagedata r:id="rId22" o:title=""/>
          </v:shape>
          <o:OLEObject Type="Embed" ProgID="Excel.Sheet.12" ShapeID="_x0000_i1027" DrawAspect="Content" ObjectID="_1438762067" r:id="rId23"/>
        </w:object>
      </w:r>
    </w:p>
    <w:p w:rsidR="007D01C8" w:rsidRPr="00AE6DCB" w:rsidRDefault="007D01C8" w:rsidP="003A11DF">
      <w:pPr>
        <w:jc w:val="both"/>
        <w:rPr>
          <w:rFonts w:cs="Times New Roman"/>
          <w:b/>
          <w:color w:val="0070C0"/>
          <w:sz w:val="24"/>
          <w:szCs w:val="24"/>
        </w:rPr>
        <w:sectPr w:rsidR="007D01C8" w:rsidRPr="00AE6DCB" w:rsidSect="007D5739">
          <w:headerReference w:type="even" r:id="rId24"/>
          <w:headerReference w:type="default" r:id="rId25"/>
          <w:pgSz w:w="11906" w:h="16838"/>
          <w:pgMar w:top="1417" w:right="1417" w:bottom="1417" w:left="1417" w:header="708" w:footer="708" w:gutter="0"/>
          <w:cols w:space="708"/>
          <w:docGrid w:linePitch="360"/>
        </w:sectPr>
      </w:pPr>
      <w:bookmarkStart w:id="36" w:name="_Toc362356427"/>
    </w:p>
    <w:p w:rsidR="0096134B" w:rsidRPr="00571585" w:rsidRDefault="007D5739" w:rsidP="00571585">
      <w:pPr>
        <w:pStyle w:val="Titre1"/>
        <w:jc w:val="both"/>
        <w:rPr>
          <w:rFonts w:asciiTheme="minorHAnsi" w:hAnsiTheme="minorHAnsi" w:cs="Times New Roman"/>
          <w:color w:val="0070C0"/>
          <w:sz w:val="24"/>
          <w:szCs w:val="24"/>
        </w:rPr>
      </w:pPr>
      <w:bookmarkStart w:id="37" w:name="_Toc364839960"/>
      <w:r w:rsidRPr="00AE6DCB">
        <w:rPr>
          <w:rFonts w:asciiTheme="minorHAnsi" w:hAnsiTheme="minorHAnsi" w:cs="Times New Roman"/>
          <w:color w:val="0070C0"/>
          <w:sz w:val="24"/>
          <w:szCs w:val="24"/>
        </w:rPr>
        <w:lastRenderedPageBreak/>
        <w:t>ANNEXE 1 : PRINCIPAUX INDICATEURS MENSUELS</w:t>
      </w:r>
      <w:bookmarkEnd w:id="36"/>
      <w:bookmarkEnd w:id="37"/>
    </w:p>
    <w:bookmarkStart w:id="38" w:name="_MON_1438502860"/>
    <w:bookmarkEnd w:id="38"/>
    <w:p w:rsidR="007D5739" w:rsidRPr="00AE6DCB" w:rsidRDefault="000B027F" w:rsidP="003A11DF">
      <w:pPr>
        <w:jc w:val="both"/>
        <w:rPr>
          <w:rFonts w:cs="Times New Roman"/>
          <w:sz w:val="24"/>
          <w:szCs w:val="24"/>
        </w:rPr>
      </w:pPr>
      <w:r w:rsidRPr="00AE6DCB">
        <w:rPr>
          <w:rFonts w:cs="Times New Roman"/>
          <w:sz w:val="24"/>
          <w:szCs w:val="24"/>
        </w:rPr>
        <w:object w:dxaOrig="16038" w:dyaOrig="17683">
          <v:shape id="_x0000_i1028" type="#_x0000_t75" style="width:510pt;height:522.6pt" o:ole="">
            <v:imagedata r:id="rId26" o:title=""/>
          </v:shape>
          <o:OLEObject Type="Embed" ProgID="Excel.Sheet.8" ShapeID="_x0000_i1028" DrawAspect="Content" ObjectID="_1438762068" r:id="rId27"/>
        </w:object>
      </w:r>
    </w:p>
    <w:p w:rsidR="007D5739" w:rsidRPr="00AE6DCB" w:rsidRDefault="007D5739" w:rsidP="003A11DF">
      <w:pPr>
        <w:pStyle w:val="Titre1"/>
        <w:jc w:val="both"/>
        <w:rPr>
          <w:rFonts w:asciiTheme="minorHAnsi" w:hAnsiTheme="minorHAnsi" w:cs="Times New Roman"/>
          <w:color w:val="0070C0"/>
          <w:sz w:val="24"/>
          <w:szCs w:val="24"/>
        </w:rPr>
      </w:pPr>
      <w:bookmarkStart w:id="39" w:name="_Toc362356428"/>
      <w:bookmarkStart w:id="40" w:name="_Toc364839961"/>
      <w:r w:rsidRPr="00AE6DCB">
        <w:rPr>
          <w:rFonts w:asciiTheme="minorHAnsi" w:hAnsiTheme="minorHAnsi" w:cs="Times New Roman"/>
          <w:color w:val="0070C0"/>
          <w:sz w:val="24"/>
          <w:szCs w:val="24"/>
        </w:rPr>
        <w:lastRenderedPageBreak/>
        <w:t>ANNEXE 2 : PRINCIPAUX INDICATEURS ANNUELS</w:t>
      </w:r>
      <w:bookmarkEnd w:id="39"/>
      <w:bookmarkEnd w:id="40"/>
    </w:p>
    <w:p w:rsidR="00FF56F6" w:rsidRPr="00AE6DCB" w:rsidRDefault="00CC6A17" w:rsidP="003A11DF">
      <w:pPr>
        <w:jc w:val="both"/>
        <w:rPr>
          <w:rFonts w:cs="Times New Roman"/>
          <w:sz w:val="24"/>
          <w:szCs w:val="24"/>
        </w:rPr>
      </w:pPr>
      <w:r w:rsidRPr="00AE6DCB">
        <w:rPr>
          <w:rFonts w:cs="Times New Roman"/>
          <w:b/>
          <w:color w:val="0070C0"/>
          <w:sz w:val="24"/>
          <w:szCs w:val="24"/>
        </w:rPr>
        <w:object w:dxaOrig="13555" w:dyaOrig="12981">
          <v:shape id="_x0000_i1029" type="#_x0000_t75" style="width:461.4pt;height:441pt" o:ole="">
            <v:imagedata r:id="rId28" o:title=""/>
          </v:shape>
          <o:OLEObject Type="Embed" ProgID="Excel.Sheet.12" ShapeID="_x0000_i1029" DrawAspect="Content" ObjectID="_1438762069" r:id="rId29"/>
        </w:object>
      </w:r>
    </w:p>
    <w:sectPr w:rsidR="00FF56F6" w:rsidRPr="00AE6DCB" w:rsidSect="007D01C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21" w:rsidRDefault="00732521" w:rsidP="00943B52">
      <w:pPr>
        <w:spacing w:after="0" w:line="240" w:lineRule="auto"/>
      </w:pPr>
      <w:r>
        <w:separator/>
      </w:r>
    </w:p>
  </w:endnote>
  <w:endnote w:type="continuationSeparator" w:id="0">
    <w:p w:rsidR="00732521" w:rsidRDefault="00732521" w:rsidP="00943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9" w:rsidRDefault="00EC7F39" w:rsidP="00EC7F39">
    <w:pPr>
      <w:pStyle w:val="Pieddepage"/>
      <w:jc w:val="right"/>
    </w:pPr>
    <w:r>
      <w:t>BRB Indicateur Juin 2013</w:t>
    </w:r>
  </w:p>
  <w:p w:rsidR="00EC7F39" w:rsidRDefault="00EC7F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9" w:rsidRPr="00EC7F39" w:rsidRDefault="00EC7F39" w:rsidP="00EC7F39">
    <w:pPr>
      <w:pStyle w:val="Pieddepage"/>
      <w:rPr>
        <w:color w:val="C4BC96" w:themeColor="background2" w:themeShade="BF"/>
      </w:rPr>
    </w:pPr>
    <w:r w:rsidRPr="00EC7F39">
      <w:rPr>
        <w:color w:val="C4BC96" w:themeColor="background2" w:themeShade="BF"/>
      </w:rPr>
      <w:t>BRB Indicateur</w:t>
    </w:r>
    <w:r w:rsidR="00686A01">
      <w:rPr>
        <w:color w:val="C4BC96" w:themeColor="background2" w:themeShade="BF"/>
      </w:rPr>
      <w:t>s de conjoncture,</w:t>
    </w:r>
    <w:r w:rsidRPr="00EC7F39">
      <w:rPr>
        <w:color w:val="C4BC96" w:themeColor="background2" w:themeShade="BF"/>
      </w:rPr>
      <w:t xml:space="preserve"> Juin 2013</w:t>
    </w:r>
  </w:p>
  <w:p w:rsidR="00EC7F39" w:rsidRDefault="00EC7F3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F39" w:rsidRPr="00EC7F39" w:rsidRDefault="00EC7F39" w:rsidP="00EC7F39">
    <w:pPr>
      <w:pStyle w:val="Pieddepage"/>
      <w:jc w:val="right"/>
      <w:rPr>
        <w:color w:val="C4BC96" w:themeColor="background2" w:themeShade="BF"/>
      </w:rPr>
    </w:pPr>
    <w:r w:rsidRPr="00EC7F39">
      <w:rPr>
        <w:color w:val="C4BC96" w:themeColor="background2" w:themeShade="BF"/>
      </w:rPr>
      <w:t>BRB Indicateur</w:t>
    </w:r>
    <w:r w:rsidR="00686A01">
      <w:rPr>
        <w:color w:val="C4BC96" w:themeColor="background2" w:themeShade="BF"/>
      </w:rPr>
      <w:t xml:space="preserve">s de conjoncture, </w:t>
    </w:r>
    <w:r w:rsidRPr="00EC7F39">
      <w:rPr>
        <w:color w:val="C4BC96" w:themeColor="background2" w:themeShade="BF"/>
      </w:rPr>
      <w:t>Juin 2013</w:t>
    </w:r>
  </w:p>
  <w:p w:rsidR="00EC7F39" w:rsidRDefault="00EC7F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21" w:rsidRDefault="00732521" w:rsidP="00943B52">
      <w:pPr>
        <w:spacing w:after="0" w:line="240" w:lineRule="auto"/>
      </w:pPr>
      <w:r>
        <w:separator/>
      </w:r>
    </w:p>
  </w:footnote>
  <w:footnote w:type="continuationSeparator" w:id="0">
    <w:p w:rsidR="00732521" w:rsidRDefault="00732521" w:rsidP="00943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89"/>
      <w:docPartObj>
        <w:docPartGallery w:val="Page Numbers (Top of Page)"/>
        <w:docPartUnique/>
      </w:docPartObj>
    </w:sdtPr>
    <w:sdtContent>
      <w:p w:rsidR="00744074" w:rsidRDefault="00BE1E63" w:rsidP="00744074">
        <w:pPr>
          <w:pStyle w:val="En-tte"/>
          <w:jc w:val="center"/>
        </w:pPr>
      </w:p>
    </w:sdtContent>
  </w:sdt>
  <w:p w:rsidR="00744074" w:rsidRDefault="0074407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52" w:rsidRDefault="00943B52">
    <w:pPr>
      <w:pStyle w:val="En-tte"/>
      <w:jc w:val="center"/>
    </w:pPr>
  </w:p>
  <w:p w:rsidR="00943B52" w:rsidRDefault="00943B5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91"/>
      <w:docPartObj>
        <w:docPartGallery w:val="Page Numbers (Top of Page)"/>
        <w:docPartUnique/>
      </w:docPartObj>
    </w:sdtPr>
    <w:sdtContent>
      <w:p w:rsidR="00744074" w:rsidRDefault="00BE1E63">
        <w:pPr>
          <w:pStyle w:val="En-tte"/>
          <w:jc w:val="right"/>
        </w:pPr>
        <w:fldSimple w:instr=" PAGE   \* MERGEFORMAT ">
          <w:r w:rsidR="00CF0306">
            <w:rPr>
              <w:noProof/>
            </w:rPr>
            <w:t>4</w:t>
          </w:r>
        </w:fldSimple>
      </w:p>
    </w:sdtContent>
  </w:sdt>
  <w:p w:rsidR="00744074" w:rsidRDefault="0074407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114"/>
      <w:docPartObj>
        <w:docPartGallery w:val="Page Numbers (Top of Page)"/>
        <w:docPartUnique/>
      </w:docPartObj>
    </w:sdtPr>
    <w:sdtContent>
      <w:p w:rsidR="00FF75FE" w:rsidRDefault="00BE1E63">
        <w:pPr>
          <w:pStyle w:val="En-tte"/>
          <w:jc w:val="right"/>
        </w:pPr>
        <w:fldSimple w:instr=" PAGE   \* MERGEFORMAT ">
          <w:r w:rsidR="00CF0306">
            <w:rPr>
              <w:noProof/>
            </w:rPr>
            <w:t>3</w:t>
          </w:r>
        </w:fldSimple>
      </w:p>
    </w:sdtContent>
  </w:sdt>
  <w:p w:rsidR="008F34F5" w:rsidRDefault="008F34F5">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693"/>
      <w:docPartObj>
        <w:docPartGallery w:val="Page Numbers (Top of Page)"/>
        <w:docPartUnique/>
      </w:docPartObj>
    </w:sdtPr>
    <w:sdtContent>
      <w:p w:rsidR="00744074" w:rsidRDefault="00744074">
        <w:pPr>
          <w:pStyle w:val="En-tte"/>
          <w:jc w:val="right"/>
        </w:pPr>
        <w:r>
          <w:t>7</w:t>
        </w:r>
      </w:p>
    </w:sdtContent>
  </w:sdt>
  <w:p w:rsidR="00744074" w:rsidRDefault="00744074">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6247"/>
      <w:docPartObj>
        <w:docPartGallery w:val="Page Numbers (Top of Page)"/>
        <w:docPartUnique/>
      </w:docPartObj>
    </w:sdtPr>
    <w:sdtContent>
      <w:p w:rsidR="001A7083" w:rsidRDefault="00752247">
        <w:pPr>
          <w:pStyle w:val="En-tte"/>
          <w:jc w:val="right"/>
        </w:pPr>
        <w:r>
          <w:t>7</w:t>
        </w:r>
      </w:p>
    </w:sdtContent>
  </w:sdt>
  <w:p w:rsidR="001A7083" w:rsidRDefault="001A7083">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120"/>
      <w:docPartObj>
        <w:docPartGallery w:val="Page Numbers (Top of Page)"/>
        <w:docPartUnique/>
      </w:docPartObj>
    </w:sdtPr>
    <w:sdtContent>
      <w:p w:rsidR="00FF75FE" w:rsidRDefault="00BE1E63">
        <w:pPr>
          <w:pStyle w:val="En-tte"/>
          <w:jc w:val="right"/>
        </w:pPr>
        <w:fldSimple w:instr=" PAGE   \* MERGEFORMAT ">
          <w:r w:rsidR="009020D3">
            <w:rPr>
              <w:noProof/>
            </w:rPr>
            <w:t>7</w:t>
          </w:r>
        </w:fldSimple>
      </w:p>
    </w:sdtContent>
  </w:sdt>
  <w:p w:rsidR="00FF75FE" w:rsidRDefault="00FF75FE">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700"/>
      <w:docPartObj>
        <w:docPartGallery w:val="Page Numbers (Top of Page)"/>
        <w:docPartUnique/>
      </w:docPartObj>
    </w:sdtPr>
    <w:sdtContent>
      <w:p w:rsidR="00744074" w:rsidRDefault="00744074">
        <w:pPr>
          <w:pStyle w:val="En-tte"/>
          <w:jc w:val="right"/>
        </w:pPr>
        <w:r>
          <w:t>8</w:t>
        </w:r>
      </w:p>
      <w:p w:rsidR="00744074" w:rsidRDefault="00BE1E63">
        <w:pPr>
          <w:pStyle w:val="En-tte"/>
          <w:jc w:val="right"/>
        </w:pPr>
      </w:p>
    </w:sdtContent>
  </w:sdt>
  <w:p w:rsidR="00744074" w:rsidRDefault="00744074">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6248"/>
      <w:docPartObj>
        <w:docPartGallery w:val="Page Numbers (Top of Page)"/>
        <w:docPartUnique/>
      </w:docPartObj>
    </w:sdtPr>
    <w:sdtContent>
      <w:p w:rsidR="001A7083" w:rsidRDefault="00BE1E63">
        <w:pPr>
          <w:pStyle w:val="En-tte"/>
          <w:jc w:val="right"/>
        </w:pPr>
        <w:fldSimple w:instr=" PAGE   \* MERGEFORMAT ">
          <w:r w:rsidR="00245DC7">
            <w:rPr>
              <w:noProof/>
            </w:rPr>
            <w:t>9</w:t>
          </w:r>
        </w:fldSimple>
      </w:p>
    </w:sdtContent>
  </w:sdt>
  <w:p w:rsidR="001A7083" w:rsidRDefault="001A708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40BA"/>
    <w:multiLevelType w:val="hybridMultilevel"/>
    <w:tmpl w:val="C98A5226"/>
    <w:lvl w:ilvl="0" w:tplc="C6728820">
      <w:start w:val="2"/>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F12C3B"/>
    <w:rsid w:val="00017182"/>
    <w:rsid w:val="00020E65"/>
    <w:rsid w:val="00031F4C"/>
    <w:rsid w:val="0003310B"/>
    <w:rsid w:val="000516B0"/>
    <w:rsid w:val="00060B26"/>
    <w:rsid w:val="00073D0B"/>
    <w:rsid w:val="00086565"/>
    <w:rsid w:val="000B027F"/>
    <w:rsid w:val="000D12EB"/>
    <w:rsid w:val="001061F8"/>
    <w:rsid w:val="00140D69"/>
    <w:rsid w:val="00183342"/>
    <w:rsid w:val="001866CC"/>
    <w:rsid w:val="0019548F"/>
    <w:rsid w:val="001A0F19"/>
    <w:rsid w:val="001A7083"/>
    <w:rsid w:val="001B422B"/>
    <w:rsid w:val="001C1011"/>
    <w:rsid w:val="00217B78"/>
    <w:rsid w:val="00230780"/>
    <w:rsid w:val="00245DC7"/>
    <w:rsid w:val="002647DC"/>
    <w:rsid w:val="002929A8"/>
    <w:rsid w:val="002C3F5F"/>
    <w:rsid w:val="002E040D"/>
    <w:rsid w:val="0030512A"/>
    <w:rsid w:val="00305294"/>
    <w:rsid w:val="0030576A"/>
    <w:rsid w:val="0031007E"/>
    <w:rsid w:val="00324211"/>
    <w:rsid w:val="00324822"/>
    <w:rsid w:val="0032516D"/>
    <w:rsid w:val="003A11DF"/>
    <w:rsid w:val="003A2458"/>
    <w:rsid w:val="003A5904"/>
    <w:rsid w:val="003B3295"/>
    <w:rsid w:val="003C33AF"/>
    <w:rsid w:val="003D3752"/>
    <w:rsid w:val="003D54FA"/>
    <w:rsid w:val="003E4AD4"/>
    <w:rsid w:val="00440E2C"/>
    <w:rsid w:val="00442051"/>
    <w:rsid w:val="00461F1B"/>
    <w:rsid w:val="00474962"/>
    <w:rsid w:val="00487B57"/>
    <w:rsid w:val="004F5A83"/>
    <w:rsid w:val="00512B15"/>
    <w:rsid w:val="005163BC"/>
    <w:rsid w:val="00516A05"/>
    <w:rsid w:val="0054189F"/>
    <w:rsid w:val="005565F2"/>
    <w:rsid w:val="005710F9"/>
    <w:rsid w:val="00571585"/>
    <w:rsid w:val="00580A2B"/>
    <w:rsid w:val="00582C2F"/>
    <w:rsid w:val="00597A72"/>
    <w:rsid w:val="005C10F6"/>
    <w:rsid w:val="005C3D04"/>
    <w:rsid w:val="005C3F55"/>
    <w:rsid w:val="005D6B84"/>
    <w:rsid w:val="005D6BC1"/>
    <w:rsid w:val="005F43D7"/>
    <w:rsid w:val="00664F7B"/>
    <w:rsid w:val="00686A01"/>
    <w:rsid w:val="006D5035"/>
    <w:rsid w:val="006E28EC"/>
    <w:rsid w:val="006E4F55"/>
    <w:rsid w:val="006E7CB7"/>
    <w:rsid w:val="006F4855"/>
    <w:rsid w:val="00700195"/>
    <w:rsid w:val="00702191"/>
    <w:rsid w:val="00732521"/>
    <w:rsid w:val="00742B2D"/>
    <w:rsid w:val="00744074"/>
    <w:rsid w:val="0074525F"/>
    <w:rsid w:val="00752247"/>
    <w:rsid w:val="007A2CDD"/>
    <w:rsid w:val="007B0307"/>
    <w:rsid w:val="007B1C76"/>
    <w:rsid w:val="007C73DC"/>
    <w:rsid w:val="007D01C8"/>
    <w:rsid w:val="007D5739"/>
    <w:rsid w:val="00824B2C"/>
    <w:rsid w:val="00853EF1"/>
    <w:rsid w:val="00875565"/>
    <w:rsid w:val="00881F71"/>
    <w:rsid w:val="00887038"/>
    <w:rsid w:val="00893847"/>
    <w:rsid w:val="008A3D22"/>
    <w:rsid w:val="008F34F5"/>
    <w:rsid w:val="008F4C88"/>
    <w:rsid w:val="009020D3"/>
    <w:rsid w:val="00936D9E"/>
    <w:rsid w:val="00943B52"/>
    <w:rsid w:val="009525BC"/>
    <w:rsid w:val="00960FD4"/>
    <w:rsid w:val="0096134B"/>
    <w:rsid w:val="00965B87"/>
    <w:rsid w:val="00965DA2"/>
    <w:rsid w:val="00994369"/>
    <w:rsid w:val="0099440A"/>
    <w:rsid w:val="00A44709"/>
    <w:rsid w:val="00AA0406"/>
    <w:rsid w:val="00AA1FB9"/>
    <w:rsid w:val="00AB40CE"/>
    <w:rsid w:val="00AE6DCB"/>
    <w:rsid w:val="00B010AC"/>
    <w:rsid w:val="00B35FDF"/>
    <w:rsid w:val="00B604B7"/>
    <w:rsid w:val="00B63D08"/>
    <w:rsid w:val="00BC032B"/>
    <w:rsid w:val="00BC46B2"/>
    <w:rsid w:val="00BD291B"/>
    <w:rsid w:val="00BD3700"/>
    <w:rsid w:val="00BE0247"/>
    <w:rsid w:val="00BE1E63"/>
    <w:rsid w:val="00BE2A24"/>
    <w:rsid w:val="00C3059F"/>
    <w:rsid w:val="00C4004F"/>
    <w:rsid w:val="00C761B8"/>
    <w:rsid w:val="00CC6A17"/>
    <w:rsid w:val="00CD47BE"/>
    <w:rsid w:val="00CF0306"/>
    <w:rsid w:val="00CF465E"/>
    <w:rsid w:val="00D0060C"/>
    <w:rsid w:val="00D21EA3"/>
    <w:rsid w:val="00D269EC"/>
    <w:rsid w:val="00D31EFD"/>
    <w:rsid w:val="00D3466B"/>
    <w:rsid w:val="00D54156"/>
    <w:rsid w:val="00D75A9E"/>
    <w:rsid w:val="00DA1306"/>
    <w:rsid w:val="00DA1FED"/>
    <w:rsid w:val="00DB3D61"/>
    <w:rsid w:val="00DC5BD6"/>
    <w:rsid w:val="00DD046E"/>
    <w:rsid w:val="00E001A7"/>
    <w:rsid w:val="00E342DF"/>
    <w:rsid w:val="00E524B1"/>
    <w:rsid w:val="00E5314B"/>
    <w:rsid w:val="00E60ED1"/>
    <w:rsid w:val="00E71562"/>
    <w:rsid w:val="00E71D8A"/>
    <w:rsid w:val="00EB4551"/>
    <w:rsid w:val="00EC2DA8"/>
    <w:rsid w:val="00EC7F39"/>
    <w:rsid w:val="00EF58EE"/>
    <w:rsid w:val="00F05BDB"/>
    <w:rsid w:val="00F10DA0"/>
    <w:rsid w:val="00F12C3B"/>
    <w:rsid w:val="00F555FD"/>
    <w:rsid w:val="00F65F25"/>
    <w:rsid w:val="00F665B4"/>
    <w:rsid w:val="00FF4CCD"/>
    <w:rsid w:val="00FF56F6"/>
    <w:rsid w:val="00FF75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EE"/>
  </w:style>
  <w:style w:type="paragraph" w:styleId="Titre1">
    <w:name w:val="heading 1"/>
    <w:basedOn w:val="Normal"/>
    <w:next w:val="Normal"/>
    <w:link w:val="Titre1Car"/>
    <w:uiPriority w:val="9"/>
    <w:qFormat/>
    <w:rsid w:val="00E60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60E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60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3B52"/>
    <w:pPr>
      <w:tabs>
        <w:tab w:val="center" w:pos="4536"/>
        <w:tab w:val="right" w:pos="9072"/>
      </w:tabs>
      <w:spacing w:after="0" w:line="240" w:lineRule="auto"/>
    </w:pPr>
  </w:style>
  <w:style w:type="character" w:customStyle="1" w:styleId="En-tteCar">
    <w:name w:val="En-tête Car"/>
    <w:basedOn w:val="Policepardfaut"/>
    <w:link w:val="En-tte"/>
    <w:uiPriority w:val="99"/>
    <w:rsid w:val="00943B52"/>
  </w:style>
  <w:style w:type="paragraph" w:styleId="Pieddepage">
    <w:name w:val="footer"/>
    <w:basedOn w:val="Normal"/>
    <w:link w:val="PieddepageCar"/>
    <w:uiPriority w:val="99"/>
    <w:unhideWhenUsed/>
    <w:rsid w:val="00943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52"/>
  </w:style>
  <w:style w:type="character" w:customStyle="1" w:styleId="Titre1Car">
    <w:name w:val="Titre 1 Car"/>
    <w:basedOn w:val="Policepardfaut"/>
    <w:link w:val="Titre1"/>
    <w:uiPriority w:val="9"/>
    <w:rsid w:val="00E60ED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60ED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60ED1"/>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D0060C"/>
    <w:pPr>
      <w:tabs>
        <w:tab w:val="right" w:leader="dot" w:pos="9062"/>
      </w:tabs>
      <w:spacing w:after="100"/>
    </w:pPr>
    <w:rPr>
      <w:rFonts w:cs="Calibri"/>
      <w:b/>
      <w:noProof/>
    </w:rPr>
  </w:style>
  <w:style w:type="paragraph" w:styleId="TM2">
    <w:name w:val="toc 2"/>
    <w:basedOn w:val="Normal"/>
    <w:next w:val="Normal"/>
    <w:autoRedefine/>
    <w:uiPriority w:val="39"/>
    <w:unhideWhenUsed/>
    <w:rsid w:val="00E60ED1"/>
    <w:pPr>
      <w:spacing w:after="100"/>
      <w:ind w:left="220"/>
    </w:pPr>
  </w:style>
  <w:style w:type="paragraph" w:styleId="TM3">
    <w:name w:val="toc 3"/>
    <w:basedOn w:val="Normal"/>
    <w:next w:val="Normal"/>
    <w:autoRedefine/>
    <w:uiPriority w:val="39"/>
    <w:unhideWhenUsed/>
    <w:rsid w:val="00E60ED1"/>
    <w:pPr>
      <w:spacing w:after="100"/>
      <w:ind w:left="440"/>
    </w:pPr>
  </w:style>
  <w:style w:type="character" w:styleId="Lienhypertexte">
    <w:name w:val="Hyperlink"/>
    <w:basedOn w:val="Policepardfaut"/>
    <w:uiPriority w:val="99"/>
    <w:unhideWhenUsed/>
    <w:rsid w:val="00E60ED1"/>
    <w:rPr>
      <w:color w:val="0000FF" w:themeColor="hyperlink"/>
      <w:u w:val="single"/>
    </w:rPr>
  </w:style>
  <w:style w:type="paragraph" w:styleId="En-ttedetabledesmatires">
    <w:name w:val="TOC Heading"/>
    <w:basedOn w:val="Titre1"/>
    <w:next w:val="Normal"/>
    <w:uiPriority w:val="39"/>
    <w:unhideWhenUsed/>
    <w:qFormat/>
    <w:rsid w:val="00E60ED1"/>
    <w:pPr>
      <w:outlineLvl w:val="9"/>
    </w:pPr>
  </w:style>
  <w:style w:type="paragraph" w:styleId="Textedebulles">
    <w:name w:val="Balloon Text"/>
    <w:basedOn w:val="Normal"/>
    <w:link w:val="TextedebullesCar"/>
    <w:uiPriority w:val="99"/>
    <w:semiHidden/>
    <w:unhideWhenUsed/>
    <w:rsid w:val="00E60E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0ED1"/>
    <w:rPr>
      <w:rFonts w:ascii="Tahoma" w:hAnsi="Tahoma" w:cs="Tahoma"/>
      <w:sz w:val="16"/>
      <w:szCs w:val="16"/>
    </w:rPr>
  </w:style>
  <w:style w:type="paragraph" w:styleId="Retraitcorpsdetexte3">
    <w:name w:val="Body Text Indent 3"/>
    <w:basedOn w:val="Normal"/>
    <w:link w:val="Retraitcorpsdetexte3Car"/>
    <w:rsid w:val="001866CC"/>
    <w:pPr>
      <w:widowControl w:val="0"/>
      <w:autoSpaceDE w:val="0"/>
      <w:autoSpaceDN w:val="0"/>
      <w:adjustRightInd w:val="0"/>
      <w:spacing w:after="0" w:line="240" w:lineRule="auto"/>
      <w:ind w:firstLine="720"/>
      <w:jc w:val="both"/>
    </w:pPr>
    <w:rPr>
      <w:rFonts w:ascii="Calibri" w:eastAsia="Times New Roman" w:hAnsi="Calibri" w:cs="Calibri"/>
      <w:color w:val="FF0000"/>
      <w:sz w:val="28"/>
      <w:szCs w:val="28"/>
      <w:lang w:eastAsia="fr-FR"/>
    </w:rPr>
  </w:style>
  <w:style w:type="character" w:customStyle="1" w:styleId="Retraitcorpsdetexte3Car">
    <w:name w:val="Retrait corps de texte 3 Car"/>
    <w:basedOn w:val="Policepardfaut"/>
    <w:link w:val="Retraitcorpsdetexte3"/>
    <w:rsid w:val="001866CC"/>
    <w:rPr>
      <w:rFonts w:ascii="Calibri" w:eastAsia="Times New Roman" w:hAnsi="Calibri" w:cs="Calibri"/>
      <w:color w:val="FF0000"/>
      <w:sz w:val="28"/>
      <w:szCs w:val="28"/>
      <w:lang w:eastAsia="fr-FR"/>
    </w:rPr>
  </w:style>
  <w:style w:type="paragraph" w:styleId="Retraitcorpsdetexte">
    <w:name w:val="Body Text Indent"/>
    <w:basedOn w:val="Normal"/>
    <w:link w:val="RetraitcorpsdetexteCar"/>
    <w:uiPriority w:val="99"/>
    <w:semiHidden/>
    <w:unhideWhenUsed/>
    <w:rsid w:val="001866CC"/>
    <w:pPr>
      <w:spacing w:after="120"/>
      <w:ind w:left="360"/>
    </w:pPr>
  </w:style>
  <w:style w:type="character" w:customStyle="1" w:styleId="RetraitcorpsdetexteCar">
    <w:name w:val="Retrait corps de texte Car"/>
    <w:basedOn w:val="Policepardfaut"/>
    <w:link w:val="Retraitcorpsdetexte"/>
    <w:uiPriority w:val="99"/>
    <w:semiHidden/>
    <w:rsid w:val="001866CC"/>
  </w:style>
  <w:style w:type="paragraph" w:styleId="Titre">
    <w:name w:val="Title"/>
    <w:basedOn w:val="Normal"/>
    <w:link w:val="TitreCar"/>
    <w:qFormat/>
    <w:rsid w:val="007D01C8"/>
    <w:pPr>
      <w:widowControl w:val="0"/>
      <w:autoSpaceDE w:val="0"/>
      <w:autoSpaceDN w:val="0"/>
      <w:adjustRightInd w:val="0"/>
      <w:spacing w:after="0" w:line="240" w:lineRule="auto"/>
      <w:jc w:val="center"/>
    </w:pPr>
    <w:rPr>
      <w:rFonts w:ascii="Calibri" w:eastAsia="Times New Roman" w:hAnsi="Calibri" w:cs="Calibri"/>
      <w:b/>
      <w:bCs/>
      <w:sz w:val="28"/>
      <w:szCs w:val="24"/>
      <w:u w:val="single"/>
      <w:lang w:val="fr-BE" w:eastAsia="fr-FR"/>
    </w:rPr>
  </w:style>
  <w:style w:type="character" w:customStyle="1" w:styleId="TitreCar">
    <w:name w:val="Titre Car"/>
    <w:basedOn w:val="Policepardfaut"/>
    <w:link w:val="Titre"/>
    <w:rsid w:val="007D01C8"/>
    <w:rPr>
      <w:rFonts w:ascii="Calibri" w:eastAsia="Times New Roman" w:hAnsi="Calibri" w:cs="Calibri"/>
      <w:b/>
      <w:bCs/>
      <w:sz w:val="28"/>
      <w:szCs w:val="24"/>
      <w:u w:val="single"/>
      <w:lang w:val="fr-BE" w:eastAsia="fr-FR"/>
    </w:rPr>
  </w:style>
</w:styles>
</file>

<file path=word/webSettings.xml><?xml version="1.0" encoding="utf-8"?>
<w:webSettings xmlns:r="http://schemas.openxmlformats.org/officeDocument/2006/relationships" xmlns:w="http://schemas.openxmlformats.org/wordprocessingml/2006/main">
  <w:divs>
    <w:div w:id="11900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package" Target="embeddings/Feuille_Microsoft_Office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package" Target="embeddings/Feuille_Microsoft_Office_Excel1.xlsx"/><Relationship Id="rId28"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b@brb.bi" TargetMode="External"/><Relationship Id="rId14" Type="http://schemas.openxmlformats.org/officeDocument/2006/relationships/oleObject" Target="embeddings/Feuille_Microsoft_Office_Excel_97-20031.xls"/><Relationship Id="rId22" Type="http://schemas.openxmlformats.org/officeDocument/2006/relationships/image" Target="media/image3.emf"/><Relationship Id="rId27" Type="http://schemas.openxmlformats.org/officeDocument/2006/relationships/oleObject" Target="embeddings/Feuille_Microsoft_Office_Excel_97-20032.xls"/><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9CE8-973A-4269-82BD-4F34CB6A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2823</Words>
  <Characters>15530</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KAIM</cp:lastModifiedBy>
  <cp:revision>42</cp:revision>
  <cp:lastPrinted>2013-08-21T08:15:00Z</cp:lastPrinted>
  <dcterms:created xsi:type="dcterms:W3CDTF">2013-08-20T07:06:00Z</dcterms:created>
  <dcterms:modified xsi:type="dcterms:W3CDTF">2013-08-23T09:21:00Z</dcterms:modified>
</cp:coreProperties>
</file>